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endnotes.xml" ContentType="application/vnd.openxmlformats-officedocument.wordprocessingml.endnotes+xml"/>
  <Override PartName="/word/footer1.xml" ContentType="application/vnd.openxmlformats-officedocument.wordprocessingml.footer+xml"/>
  <Override PartName="/word/footnotes.xml" ContentType="application/vnd.openxmlformats-officedocument.wordprocessingml.footnotes+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glossary/settings.xml" ContentType="application/vnd.openxmlformats-officedocument.wordprocessingml.settings+xml"/>
  <Override PartName="/word/glossary/document.xml" ContentType="application/vnd.openxmlformats-officedocument.wordprocessingml.document.glossary+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word/glossary/fontTable.xml" ContentType="application/vnd.openxmlformats-officedocument.wordprocessingml.fontTable+xml"/>
  <Override PartName="/word/webSettings.xml" ContentType="application/vnd.openxmlformats-officedocument.wordprocessingml.webSettings+xml"/>
  <Override PartName="/word/fontTable.xml" ContentType="application/vnd.openxmlformats-officedocument.wordprocessingml.fontTable+xml"/>
  <Override PartName="/word/glossary/styles.xml" ContentType="application/vnd.openxmlformats-officedocument.wordprocessingml.styles+xml"/>
  <Override PartName="/word/glossary/webSettings.xml" ContentType="application/vnd.openxmlformats-officedocument.wordprocessingml.webSetting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E0BE46E" w14:textId="77777777" w:rsidR="0023714C" w:rsidRPr="00525B68" w:rsidRDefault="0023714C" w:rsidP="0023714C">
      <w:pPr>
        <w:pStyle w:val="Header"/>
      </w:pPr>
      <w:r w:rsidRPr="00525B68">
        <w:rPr>
          <w:noProof/>
          <w:lang w:eastAsia="en-AU"/>
        </w:rPr>
        <w:drawing>
          <wp:anchor distT="0" distB="0" distL="114300" distR="114300" simplePos="0" relativeHeight="251661312" behindDoc="0" locked="0" layoutInCell="1" allowOverlap="1" wp14:anchorId="1E3B07E4" wp14:editId="59AA7358">
            <wp:simplePos x="0" y="0"/>
            <wp:positionH relativeFrom="column">
              <wp:posOffset>-101346</wp:posOffset>
            </wp:positionH>
            <wp:positionV relativeFrom="paragraph">
              <wp:posOffset>-131699</wp:posOffset>
            </wp:positionV>
            <wp:extent cx="3957457" cy="687600"/>
            <wp:effectExtent l="0" t="0" r="5080" b="0"/>
            <wp:wrapNone/>
            <wp:docPr id="4" name="Picture 0" descr="Australian Government Department of the Environment and Energy" title="Australian Government Department of the Environment and Ener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EWPaC-inline_stacked_blue.png"/>
                    <pic:cNvPicPr/>
                  </pic:nvPicPr>
                  <pic:blipFill>
                    <a:blip r:embed="rId8"/>
                    <a:stretch>
                      <a:fillRect/>
                    </a:stretch>
                  </pic:blipFill>
                  <pic:spPr>
                    <a:xfrm>
                      <a:off x="0" y="0"/>
                      <a:ext cx="3957457" cy="687600"/>
                    </a:xfrm>
                    <a:prstGeom prst="rect">
                      <a:avLst/>
                    </a:prstGeom>
                  </pic:spPr>
                </pic:pic>
              </a:graphicData>
            </a:graphic>
          </wp:anchor>
        </w:drawing>
      </w:r>
    </w:p>
    <w:p w14:paraId="6947187D" w14:textId="77777777" w:rsidR="0023714C" w:rsidRPr="00525B68" w:rsidRDefault="0023714C" w:rsidP="0023714C">
      <w:pPr>
        <w:pStyle w:val="Header"/>
      </w:pPr>
    </w:p>
    <w:p w14:paraId="67836D04" w14:textId="77777777" w:rsidR="0023714C" w:rsidRPr="00525B68" w:rsidRDefault="0023714C" w:rsidP="0023714C">
      <w:pPr>
        <w:pStyle w:val="Header"/>
      </w:pPr>
    </w:p>
    <w:p w14:paraId="37FA2B17" w14:textId="77777777" w:rsidR="0023714C" w:rsidRPr="00525B68" w:rsidRDefault="0023714C" w:rsidP="0023714C">
      <w:pPr>
        <w:pStyle w:val="Header"/>
      </w:pPr>
    </w:p>
    <w:p w14:paraId="1353D5C5" w14:textId="77777777" w:rsidR="0023714C" w:rsidRPr="00525B68" w:rsidRDefault="0023714C" w:rsidP="0023714C">
      <w:pPr>
        <w:pStyle w:val="Header"/>
      </w:pPr>
    </w:p>
    <w:p w14:paraId="123C93D4" w14:textId="77777777" w:rsidR="0023714C" w:rsidRPr="00525B68" w:rsidRDefault="0023714C">
      <w:pPr>
        <w:spacing w:after="200" w:line="276" w:lineRule="auto"/>
        <w:ind w:left="0"/>
        <w:jc w:val="left"/>
      </w:pPr>
    </w:p>
    <w:p w14:paraId="38FFD467" w14:textId="77777777" w:rsidR="0023714C" w:rsidRPr="00525B68" w:rsidRDefault="0023714C" w:rsidP="0023714C">
      <w:pPr>
        <w:pStyle w:val="ReportTitle"/>
        <w:ind w:left="1361"/>
        <w:rPr>
          <w:color w:val="002060"/>
        </w:rPr>
      </w:pPr>
    </w:p>
    <w:p w14:paraId="49844996" w14:textId="77777777" w:rsidR="0023714C" w:rsidRPr="00525B68" w:rsidRDefault="0023714C" w:rsidP="0023714C">
      <w:pPr>
        <w:pStyle w:val="ReportTitle"/>
        <w:ind w:left="1361"/>
        <w:rPr>
          <w:color w:val="002060"/>
        </w:rPr>
      </w:pPr>
    </w:p>
    <w:p w14:paraId="7307D4FC" w14:textId="74B91481" w:rsidR="0023714C" w:rsidRPr="00525B68" w:rsidRDefault="0023714C" w:rsidP="0023714C">
      <w:pPr>
        <w:pStyle w:val="ReportTitle"/>
        <w:ind w:left="1361"/>
        <w:rPr>
          <w:color w:val="002060"/>
        </w:rPr>
      </w:pPr>
      <w:r w:rsidRPr="00525B68">
        <w:rPr>
          <w:color w:val="002060"/>
        </w:rPr>
        <w:t xml:space="preserve">Australian Energy </w:t>
      </w:r>
      <w:r w:rsidR="003D440F">
        <w:rPr>
          <w:color w:val="002060"/>
        </w:rPr>
        <w:t>Update</w:t>
      </w:r>
    </w:p>
    <w:p w14:paraId="0E82AB0E" w14:textId="29301D4D" w:rsidR="0023714C" w:rsidRDefault="003F2CCE" w:rsidP="0023714C">
      <w:pPr>
        <w:pStyle w:val="ReportTitle"/>
        <w:ind w:left="1361"/>
        <w:rPr>
          <w:color w:val="002060"/>
        </w:rPr>
      </w:pPr>
      <w:r w:rsidRPr="000378B5">
        <w:rPr>
          <w:color w:val="002060"/>
        </w:rPr>
        <w:t>2018</w:t>
      </w:r>
    </w:p>
    <w:p w14:paraId="6FF9A988" w14:textId="77777777" w:rsidR="005E397B" w:rsidRDefault="005E397B" w:rsidP="005E397B">
      <w:pPr>
        <w:pStyle w:val="ReportTitle"/>
        <w:ind w:left="1361"/>
      </w:pPr>
    </w:p>
    <w:p w14:paraId="57E9ACC2" w14:textId="77777777" w:rsidR="005E397B" w:rsidRDefault="005E397B" w:rsidP="005E397B">
      <w:pPr>
        <w:pStyle w:val="Reportsubtitle"/>
        <w:ind w:left="1361"/>
      </w:pPr>
      <w:r>
        <w:t>August 2018</w:t>
      </w:r>
    </w:p>
    <w:p w14:paraId="3A956D1D" w14:textId="77777777" w:rsidR="005E397B" w:rsidRDefault="005E397B" w:rsidP="005E397B">
      <w:pPr>
        <w:pStyle w:val="BodyText"/>
        <w:spacing w:after="0" w:line="240" w:lineRule="auto"/>
      </w:pPr>
    </w:p>
    <w:p w14:paraId="1187B4D3" w14:textId="77777777" w:rsidR="005E397B" w:rsidRDefault="005E397B" w:rsidP="005E397B">
      <w:pPr>
        <w:spacing w:after="0" w:line="240" w:lineRule="auto"/>
        <w:ind w:left="-1418"/>
        <w:jc w:val="left"/>
      </w:pPr>
    </w:p>
    <w:p w14:paraId="1E30BA7A" w14:textId="6F78BBA2" w:rsidR="005E397B" w:rsidRDefault="004C56A4" w:rsidP="005E397B">
      <w:pPr>
        <w:spacing w:after="0" w:line="240" w:lineRule="auto"/>
        <w:ind w:left="-1418"/>
        <w:jc w:val="left"/>
      </w:pPr>
      <w:r>
        <w:rPr>
          <w:noProof/>
          <w:lang w:eastAsia="en-AU"/>
        </w:rPr>
        <w:drawing>
          <wp:inline distT="0" distB="0" distL="0" distR="0" wp14:anchorId="05C32A38" wp14:editId="149B4714">
            <wp:extent cx="7549662" cy="3844925"/>
            <wp:effectExtent l="0" t="0" r="0" b="3175"/>
            <wp:docPr id="3" name="Picture 3" descr="Cover image: Power lines, Canberra ACT" title="Cover image: Power lines, Canberra 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B4I923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93809" cy="3867408"/>
                    </a:xfrm>
                    <a:prstGeom prst="rect">
                      <a:avLst/>
                    </a:prstGeom>
                  </pic:spPr>
                </pic:pic>
              </a:graphicData>
            </a:graphic>
          </wp:inline>
        </w:drawing>
      </w:r>
    </w:p>
    <w:p w14:paraId="4E6E9A29" w14:textId="2FCBA457" w:rsidR="005E397B" w:rsidRDefault="004C56A4" w:rsidP="005E397B">
      <w:pPr>
        <w:spacing w:after="0" w:line="240" w:lineRule="auto"/>
        <w:ind w:left="-1418"/>
        <w:jc w:val="left"/>
      </w:pPr>
      <w:r w:rsidRPr="001E3C58">
        <w:rPr>
          <w:noProof/>
          <w:lang w:eastAsia="en-AU"/>
        </w:rPr>
        <w:drawing>
          <wp:anchor distT="0" distB="0" distL="114300" distR="114300" simplePos="0" relativeHeight="251664384" behindDoc="0" locked="0" layoutInCell="1" allowOverlap="1" wp14:anchorId="30D77232" wp14:editId="61CBD236">
            <wp:simplePos x="0" y="0"/>
            <wp:positionH relativeFrom="page">
              <wp:posOffset>33997</wp:posOffset>
            </wp:positionH>
            <wp:positionV relativeFrom="page">
              <wp:posOffset>9400149</wp:posOffset>
            </wp:positionV>
            <wp:extent cx="7591936" cy="37310"/>
            <wp:effectExtent l="0" t="0" r="0" b="1270"/>
            <wp:wrapNone/>
            <wp:docPr id="14" name="Picture 1" descr="C:\Users\a11944\AppData\Local\Microsoft\Windows\Temporary Internet Files\Content.Outlook\DEX22WEH\HR_dotted_line_darker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11944\AppData\Local\Microsoft\Windows\Temporary Internet Files\Content.Outlook\DEX22WEH\HR_dotted_line_darkerblue.png"/>
                    <pic:cNvPicPr preferRelativeResize="0">
                      <a:picLocks noChangeAspect="1" noChangeArrowheads="1"/>
                    </pic:cNvPicPr>
                  </pic:nvPicPr>
                  <pic:blipFill>
                    <a:blip r:embed="rId10" cstate="print"/>
                    <a:srcRect/>
                    <a:stretch>
                      <a:fillRect/>
                    </a:stretch>
                  </pic:blipFill>
                  <pic:spPr bwMode="auto">
                    <a:xfrm>
                      <a:off x="0" y="0"/>
                      <a:ext cx="7591936" cy="37310"/>
                    </a:xfrm>
                    <a:prstGeom prst="rect">
                      <a:avLst/>
                    </a:prstGeom>
                    <a:noFill/>
                    <a:ln w="9525">
                      <a:noFill/>
                      <a:miter lim="800000"/>
                      <a:headEnd/>
                      <a:tailEnd/>
                    </a:ln>
                  </pic:spPr>
                </pic:pic>
              </a:graphicData>
            </a:graphic>
          </wp:anchor>
        </w:drawing>
      </w:r>
    </w:p>
    <w:p w14:paraId="041CE772" w14:textId="54933E58" w:rsidR="005E397B" w:rsidRDefault="005E397B" w:rsidP="005E397B">
      <w:pPr>
        <w:spacing w:after="0" w:line="240" w:lineRule="auto"/>
        <w:ind w:left="-1418"/>
        <w:jc w:val="left"/>
      </w:pPr>
    </w:p>
    <w:p w14:paraId="63E7BE01" w14:textId="7FFA21F3" w:rsidR="005E397B" w:rsidRDefault="005E397B" w:rsidP="005E397B">
      <w:pPr>
        <w:spacing w:after="200" w:line="276" w:lineRule="auto"/>
        <w:ind w:left="-1418"/>
        <w:jc w:val="left"/>
      </w:pPr>
      <w:r>
        <w:br w:type="page"/>
      </w:r>
    </w:p>
    <w:p w14:paraId="4C71120A" w14:textId="77777777" w:rsidR="005E397B" w:rsidRDefault="005E397B" w:rsidP="005E397B">
      <w:pPr>
        <w:spacing w:after="200" w:line="276" w:lineRule="auto"/>
        <w:ind w:left="0"/>
        <w:jc w:val="left"/>
      </w:pPr>
    </w:p>
    <w:p w14:paraId="28CDF621" w14:textId="77777777" w:rsidR="005E397B" w:rsidRDefault="005E397B" w:rsidP="005E397B"/>
    <w:p w14:paraId="00682A6E" w14:textId="77777777" w:rsidR="005E397B" w:rsidRDefault="005E397B" w:rsidP="005E397B"/>
    <w:sdt>
      <w:sdtPr>
        <w:rPr>
          <w:rFonts w:ascii="Arial" w:hAnsi="Arial"/>
          <w:color w:val="auto"/>
          <w:szCs w:val="20"/>
        </w:rPr>
        <w:id w:val="-2070572213"/>
        <w:docPartObj>
          <w:docPartGallery w:val="Cover Pages"/>
          <w:docPartUnique/>
        </w:docPartObj>
      </w:sdtPr>
      <w:sdtEndPr>
        <w:rPr>
          <w:rFonts w:asciiTheme="minorHAnsi" w:hAnsiTheme="minorHAnsi"/>
        </w:rPr>
      </w:sdtEndPr>
      <w:sdtContent>
        <w:tbl>
          <w:tblPr>
            <w:tblW w:w="0" w:type="auto"/>
            <w:tblLook w:val="04A0" w:firstRow="1" w:lastRow="0" w:firstColumn="1" w:lastColumn="0" w:noHBand="0" w:noVBand="1"/>
          </w:tblPr>
          <w:tblGrid>
            <w:gridCol w:w="9026"/>
          </w:tblGrid>
          <w:tr w:rsidR="005E397B" w14:paraId="59DE3774" w14:textId="77777777" w:rsidTr="007D116F">
            <w:trPr>
              <w:cantSplit/>
              <w:trHeight w:hRule="exact" w:val="2835"/>
            </w:trPr>
            <w:tc>
              <w:tcPr>
                <w:tcW w:w="9026" w:type="dxa"/>
              </w:tcPr>
              <w:p w14:paraId="37307AA7" w14:textId="77777777" w:rsidR="005E397B" w:rsidRDefault="005E397B" w:rsidP="007D116F">
                <w:pPr>
                  <w:pStyle w:val="CoverNormal"/>
                  <w:jc w:val="right"/>
                </w:pPr>
              </w:p>
            </w:tc>
          </w:tr>
          <w:tr w:rsidR="005E397B" w14:paraId="5501861D" w14:textId="77777777" w:rsidTr="007D116F">
            <w:trPr>
              <w:cantSplit/>
            </w:trPr>
            <w:tc>
              <w:tcPr>
                <w:tcW w:w="9026" w:type="dxa"/>
              </w:tcPr>
              <w:sdt>
                <w:sdtPr>
                  <w:rPr>
                    <w:rStyle w:val="TitleHeadingChar"/>
                    <w:b/>
                  </w:rPr>
                  <w:alias w:val="Title"/>
                  <w:tag w:val="Title"/>
                  <w:id w:val="448435143"/>
                  <w:placeholder>
                    <w:docPart w:val="6CD0A6C3FECB4E2AA061BBCBD640895E"/>
                  </w:placeholder>
                </w:sdtPr>
                <w:sdtEndPr>
                  <w:rPr>
                    <w:rStyle w:val="TitleHeadingChar"/>
                  </w:rPr>
                </w:sdtEndPr>
                <w:sdtContent>
                  <w:p w14:paraId="3D023CC0" w14:textId="77777777" w:rsidR="005E397B" w:rsidRDefault="005E397B" w:rsidP="007D116F">
                    <w:pPr>
                      <w:pStyle w:val="TitleHeading"/>
                      <w:keepNext/>
                      <w:rPr>
                        <w:rStyle w:val="TitleHeadingChar"/>
                        <w:b/>
                      </w:rPr>
                    </w:pPr>
                  </w:p>
                  <w:p w14:paraId="19E162E6" w14:textId="77777777" w:rsidR="005E397B" w:rsidRPr="0062737A" w:rsidRDefault="005E397B" w:rsidP="007D116F">
                    <w:pPr>
                      <w:pStyle w:val="TitleHeading"/>
                      <w:keepNext/>
                      <w:rPr>
                        <w:rStyle w:val="TitleHeadingChar"/>
                        <w:b/>
                      </w:rPr>
                    </w:pPr>
                    <w:r>
                      <w:rPr>
                        <w:rStyle w:val="TitleHeadingChar"/>
                        <w:b/>
                      </w:rPr>
                      <w:t xml:space="preserve">Australian Energy Update </w:t>
                    </w:r>
                    <w:r>
                      <w:rPr>
                        <w:rStyle w:val="TitleHeadingChar"/>
                        <w:b/>
                      </w:rPr>
                      <w:br/>
                      <w:t>2018</w:t>
                    </w:r>
                  </w:p>
                </w:sdtContent>
              </w:sdt>
              <w:p w14:paraId="769BE087" w14:textId="77777777" w:rsidR="005E397B" w:rsidRDefault="005E397B" w:rsidP="007D116F">
                <w:pPr>
                  <w:pStyle w:val="CoverNormal"/>
                </w:pPr>
              </w:p>
            </w:tc>
          </w:tr>
          <w:tr w:rsidR="005E397B" w14:paraId="59282F0B" w14:textId="77777777" w:rsidTr="007D116F">
            <w:trPr>
              <w:cantSplit/>
            </w:trPr>
            <w:tc>
              <w:tcPr>
                <w:tcW w:w="9026" w:type="dxa"/>
                <w:vAlign w:val="center"/>
              </w:tcPr>
              <w:p w14:paraId="3682F61B" w14:textId="77777777" w:rsidR="005E397B" w:rsidRPr="00B77F5F" w:rsidRDefault="005E397B" w:rsidP="007D116F">
                <w:pPr>
                  <w:pStyle w:val="Author"/>
                  <w:rPr>
                    <w:b w:val="0"/>
                  </w:rPr>
                </w:pPr>
                <w:r w:rsidRPr="00800071">
                  <w:rPr>
                    <w:b w:val="0"/>
                    <w:color w:val="auto"/>
                    <w:sz w:val="24"/>
                  </w:rPr>
                  <w:t>August 201</w:t>
                </w:r>
                <w:r>
                  <w:rPr>
                    <w:b w:val="0"/>
                    <w:color w:val="auto"/>
                    <w:sz w:val="24"/>
                  </w:rPr>
                  <w:t>8</w:t>
                </w:r>
              </w:p>
            </w:tc>
          </w:tr>
        </w:tbl>
        <w:p w14:paraId="75A18C8A" w14:textId="77777777" w:rsidR="005E397B" w:rsidRDefault="005E397B" w:rsidP="005E397B">
          <w:pPr>
            <w:spacing w:after="200" w:line="276" w:lineRule="auto"/>
            <w:ind w:left="0"/>
            <w:jc w:val="left"/>
            <w:rPr>
              <w:color w:val="595A5B" w:themeColor="text1"/>
              <w:sz w:val="16"/>
              <w:szCs w:val="16"/>
            </w:rPr>
          </w:pPr>
        </w:p>
        <w:p w14:paraId="51997847" w14:textId="77777777" w:rsidR="005E397B" w:rsidRDefault="00C06D15" w:rsidP="005E397B">
          <w:pPr>
            <w:pStyle w:val="CommentText"/>
            <w:rPr>
              <w:noProof/>
              <w:lang w:eastAsia="en-AU"/>
            </w:rPr>
          </w:pPr>
        </w:p>
      </w:sdtContent>
    </w:sdt>
    <w:p w14:paraId="07A8163C" w14:textId="77777777" w:rsidR="005E397B" w:rsidRDefault="005E397B" w:rsidP="005E397B">
      <w:pPr>
        <w:spacing w:after="200" w:line="276" w:lineRule="auto"/>
        <w:ind w:left="0"/>
        <w:jc w:val="left"/>
      </w:pPr>
    </w:p>
    <w:p w14:paraId="5669B87D" w14:textId="77777777" w:rsidR="005E397B" w:rsidRDefault="005E397B" w:rsidP="005E397B">
      <w:pPr>
        <w:pStyle w:val="BodyText"/>
      </w:pPr>
    </w:p>
    <w:p w14:paraId="72AF3832" w14:textId="77777777" w:rsidR="00CB08CB" w:rsidRDefault="00CB08CB" w:rsidP="00FC773C">
      <w:pPr>
        <w:pStyle w:val="CommentText"/>
        <w:rPr>
          <w:noProof/>
          <w:lang w:eastAsia="en-AU"/>
        </w:rPr>
      </w:pPr>
    </w:p>
    <w:p w14:paraId="647F5E2B" w14:textId="77777777" w:rsidR="005E397B" w:rsidRDefault="005E397B">
      <w:pPr>
        <w:spacing w:after="200" w:line="276" w:lineRule="auto"/>
        <w:ind w:left="0"/>
        <w:jc w:val="left"/>
        <w:sectPr w:rsidR="005E397B" w:rsidSect="00687FF3">
          <w:footerReference w:type="default" r:id="rId11"/>
          <w:footerReference w:type="first" r:id="rId12"/>
          <w:pgSz w:w="11906" w:h="16838" w:code="9"/>
          <w:pgMar w:top="1440" w:right="1440" w:bottom="1440" w:left="1418" w:header="709" w:footer="709" w:gutter="0"/>
          <w:pgNumType w:fmt="lowerRoman" w:start="1"/>
          <w:cols w:space="708"/>
          <w:docGrid w:linePitch="360"/>
        </w:sectPr>
      </w:pPr>
    </w:p>
    <w:p w14:paraId="3507BDDC" w14:textId="75E0C62C" w:rsidR="00EE75B2" w:rsidRPr="001F1F3C" w:rsidRDefault="00EE75B2" w:rsidP="00082FE6">
      <w:pPr>
        <w:pStyle w:val="DisclaimerandAcknowledgement"/>
        <w:pBdr>
          <w:top w:val="single" w:sz="4" w:space="1" w:color="auto"/>
        </w:pBdr>
        <w:ind w:left="414"/>
      </w:pPr>
      <w:r w:rsidRPr="005F5D85">
        <w:lastRenderedPageBreak/>
        <w:t xml:space="preserve">Department of </w:t>
      </w:r>
      <w:r w:rsidR="00D706DF" w:rsidRPr="00A727FB">
        <w:t>the Environment and Energy</w:t>
      </w:r>
      <w:r w:rsidRPr="001F1F3C">
        <w:t xml:space="preserve"> (</w:t>
      </w:r>
      <w:r w:rsidR="003F2CCE" w:rsidRPr="001F1F3C">
        <w:t>2018</w:t>
      </w:r>
      <w:r w:rsidRPr="001F1F3C">
        <w:t xml:space="preserve">), </w:t>
      </w:r>
      <w:r w:rsidRPr="001F1F3C">
        <w:rPr>
          <w:i/>
        </w:rPr>
        <w:t xml:space="preserve">Australian </w:t>
      </w:r>
      <w:r w:rsidR="003E1DC8" w:rsidRPr="001F1F3C">
        <w:rPr>
          <w:i/>
        </w:rPr>
        <w:t>E</w:t>
      </w:r>
      <w:r w:rsidRPr="001F1F3C">
        <w:rPr>
          <w:i/>
        </w:rPr>
        <w:t xml:space="preserve">nergy </w:t>
      </w:r>
      <w:r w:rsidR="003E1DC8" w:rsidRPr="001F1F3C">
        <w:rPr>
          <w:i/>
        </w:rPr>
        <w:t>U</w:t>
      </w:r>
      <w:r w:rsidRPr="001F1F3C">
        <w:rPr>
          <w:i/>
        </w:rPr>
        <w:t xml:space="preserve">pdate </w:t>
      </w:r>
      <w:r w:rsidR="008B44E3">
        <w:rPr>
          <w:i/>
        </w:rPr>
        <w:t xml:space="preserve">2018, </w:t>
      </w:r>
      <w:r w:rsidR="00F80086" w:rsidRPr="001F1F3C">
        <w:t>August</w:t>
      </w:r>
      <w:r w:rsidRPr="001F1F3C">
        <w:t>, Canberra.</w:t>
      </w:r>
    </w:p>
    <w:p w14:paraId="050B7D16" w14:textId="77777777" w:rsidR="00EE75B2" w:rsidRPr="001F1F3C" w:rsidRDefault="00EE75B2" w:rsidP="00082FE6">
      <w:pPr>
        <w:pStyle w:val="DisclaimerandAcknowledgement"/>
        <w:spacing w:after="0" w:line="240" w:lineRule="auto"/>
        <w:ind w:left="414"/>
        <w:rPr>
          <w:rFonts w:eastAsiaTheme="minorHAnsi" w:cstheme="minorBidi"/>
          <w:color w:val="595A5B" w:themeColor="text1"/>
          <w:szCs w:val="16"/>
          <w:lang w:val="en-AU"/>
        </w:rPr>
      </w:pPr>
    </w:p>
    <w:p w14:paraId="24CA7881" w14:textId="77777777" w:rsidR="00EE75B2" w:rsidRPr="001F1F3C" w:rsidRDefault="00EE75B2" w:rsidP="00082FE6">
      <w:pPr>
        <w:pStyle w:val="DisclaimerandAcknowledgement"/>
        <w:spacing w:after="0" w:line="240" w:lineRule="auto"/>
        <w:ind w:left="414"/>
        <w:rPr>
          <w:rFonts w:eastAsiaTheme="minorHAnsi" w:cstheme="minorBidi"/>
          <w:b/>
          <w:color w:val="595A5B" w:themeColor="text1"/>
          <w:szCs w:val="16"/>
          <w:lang w:val="en-AU"/>
        </w:rPr>
      </w:pPr>
      <w:r w:rsidRPr="001F1F3C">
        <w:rPr>
          <w:rFonts w:eastAsiaTheme="minorHAnsi" w:cstheme="minorBidi"/>
          <w:b/>
          <w:color w:val="595A5B" w:themeColor="text1"/>
          <w:szCs w:val="16"/>
          <w:lang w:val="en-AU"/>
        </w:rPr>
        <w:t>Further information</w:t>
      </w:r>
    </w:p>
    <w:p w14:paraId="067DB998" w14:textId="77777777" w:rsidR="00EE75B2" w:rsidRPr="001F1F3C" w:rsidRDefault="00EE75B2"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For more information, please contact:</w:t>
      </w:r>
    </w:p>
    <w:p w14:paraId="2045AFB2" w14:textId="77777777" w:rsidR="00D65CEE" w:rsidRPr="001F1F3C" w:rsidRDefault="00D706DF"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Energy Statistics and Analysis section</w:t>
      </w:r>
    </w:p>
    <w:p w14:paraId="2C721156" w14:textId="77777777" w:rsidR="00EE75B2" w:rsidRPr="001F1F3C" w:rsidRDefault="00EE75B2"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Department of the Environment and Energy</w:t>
      </w:r>
    </w:p>
    <w:p w14:paraId="2F0FE9A2" w14:textId="77777777" w:rsidR="00EE75B2" w:rsidRPr="001F1F3C" w:rsidRDefault="00EE75B2"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GPO Box 787</w:t>
      </w:r>
      <w:r w:rsidRPr="001F1F3C">
        <w:rPr>
          <w:rFonts w:eastAsiaTheme="minorHAnsi" w:cstheme="minorBidi"/>
          <w:color w:val="595A5B" w:themeColor="text1"/>
          <w:szCs w:val="16"/>
          <w:lang w:val="en-AU"/>
        </w:rPr>
        <w:br/>
        <w:t>CANBERRA ACT 2601</w:t>
      </w:r>
    </w:p>
    <w:p w14:paraId="1082BA14" w14:textId="3C17DCC5" w:rsidR="00EE75B2" w:rsidRPr="001F1F3C" w:rsidRDefault="00EE75B2"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 xml:space="preserve">Email: </w:t>
      </w:r>
      <w:hyperlink r:id="rId13" w:history="1">
        <w:r w:rsidR="00082FE6" w:rsidRPr="00082FE6">
          <w:rPr>
            <w:rStyle w:val="Hyperlink"/>
            <w:rFonts w:eastAsiaTheme="minorHAnsi" w:cstheme="minorBidi"/>
            <w:szCs w:val="16"/>
            <w:lang w:val="en-AU"/>
          </w:rPr>
          <w:t>australianenergystatistics@environment.gov.au</w:t>
        </w:r>
      </w:hyperlink>
      <w:r w:rsidRPr="001F1F3C">
        <w:rPr>
          <w:rFonts w:eastAsiaTheme="minorHAnsi" w:cstheme="minorBidi"/>
          <w:color w:val="595A5B" w:themeColor="text1"/>
          <w:szCs w:val="16"/>
          <w:lang w:val="en-AU"/>
        </w:rPr>
        <w:t xml:space="preserve"> </w:t>
      </w:r>
    </w:p>
    <w:p w14:paraId="02295D06" w14:textId="67D5BFC4" w:rsidR="00EE75B2" w:rsidRPr="001F1F3C" w:rsidRDefault="00EE75B2"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 xml:space="preserve">Web:  </w:t>
      </w:r>
      <w:hyperlink r:id="rId14" w:history="1">
        <w:r w:rsidR="004A0EE1" w:rsidRPr="001A7AA7">
          <w:rPr>
            <w:rStyle w:val="Hyperlink"/>
          </w:rPr>
          <w:t>www.energy.gov.au</w:t>
        </w:r>
      </w:hyperlink>
    </w:p>
    <w:p w14:paraId="07E254CC" w14:textId="77777777" w:rsidR="00EE75B2" w:rsidRPr="001F1F3C" w:rsidRDefault="00EE75B2" w:rsidP="00082FE6">
      <w:pPr>
        <w:pStyle w:val="DisclaimerandAcknowledgement"/>
        <w:spacing w:after="0" w:line="240" w:lineRule="auto"/>
        <w:ind w:left="414"/>
        <w:rPr>
          <w:rFonts w:eastAsiaTheme="minorHAnsi" w:cstheme="minorBidi"/>
          <w:color w:val="595A5B" w:themeColor="text1"/>
          <w:szCs w:val="16"/>
          <w:lang w:val="en-AU"/>
        </w:rPr>
      </w:pPr>
    </w:p>
    <w:p w14:paraId="10DBD0A2" w14:textId="77777777" w:rsidR="00EE75B2" w:rsidRPr="001F1F3C" w:rsidRDefault="00EE75B2" w:rsidP="00082FE6">
      <w:pPr>
        <w:pStyle w:val="DisclaimerandAcknowledgement"/>
        <w:spacing w:after="0" w:line="240" w:lineRule="auto"/>
        <w:ind w:left="414"/>
        <w:rPr>
          <w:rFonts w:eastAsiaTheme="minorHAnsi" w:cstheme="minorBidi"/>
          <w:color w:val="595A5B" w:themeColor="text1"/>
          <w:szCs w:val="16"/>
          <w:lang w:val="en-AU"/>
        </w:rPr>
      </w:pPr>
    </w:p>
    <w:p w14:paraId="5BDF9C00" w14:textId="77777777" w:rsidR="00EE75B2" w:rsidRPr="001F1F3C" w:rsidRDefault="003E1DC8" w:rsidP="00082FE6">
      <w:pPr>
        <w:pStyle w:val="DisclaimerandAcknowledgement"/>
        <w:spacing w:after="0" w:line="240" w:lineRule="auto"/>
        <w:ind w:left="414"/>
        <w:rPr>
          <w:rFonts w:eastAsiaTheme="minorHAnsi" w:cstheme="minorBidi"/>
          <w:b/>
          <w:color w:val="595A5B" w:themeColor="text1"/>
          <w:szCs w:val="16"/>
          <w:lang w:val="en-AU"/>
        </w:rPr>
      </w:pPr>
      <w:r w:rsidRPr="001F1F3C">
        <w:rPr>
          <w:rFonts w:eastAsiaTheme="minorHAnsi" w:cstheme="minorBidi"/>
          <w:b/>
          <w:color w:val="595A5B" w:themeColor="text1"/>
          <w:szCs w:val="16"/>
          <w:lang w:val="en-AU"/>
        </w:rPr>
        <w:t xml:space="preserve">Australian Energy Statistics </w:t>
      </w:r>
      <w:r w:rsidR="00221E24" w:rsidRPr="001F1F3C">
        <w:rPr>
          <w:rFonts w:eastAsiaTheme="minorHAnsi" w:cstheme="minorBidi"/>
          <w:b/>
          <w:color w:val="595A5B" w:themeColor="text1"/>
          <w:szCs w:val="16"/>
          <w:lang w:val="en-AU"/>
        </w:rPr>
        <w:t>p</w:t>
      </w:r>
      <w:r w:rsidR="00EE75B2" w:rsidRPr="001F1F3C">
        <w:rPr>
          <w:rFonts w:eastAsiaTheme="minorHAnsi" w:cstheme="minorBidi"/>
          <w:b/>
          <w:color w:val="595A5B" w:themeColor="text1"/>
          <w:szCs w:val="16"/>
          <w:lang w:val="en-AU"/>
        </w:rPr>
        <w:t xml:space="preserve">roject </w:t>
      </w:r>
      <w:r w:rsidR="00221E24" w:rsidRPr="001F1F3C">
        <w:rPr>
          <w:rFonts w:eastAsiaTheme="minorHAnsi" w:cstheme="minorBidi"/>
          <w:b/>
          <w:color w:val="595A5B" w:themeColor="text1"/>
          <w:szCs w:val="16"/>
          <w:lang w:val="en-AU"/>
        </w:rPr>
        <w:t>t</w:t>
      </w:r>
      <w:r w:rsidR="00EE75B2" w:rsidRPr="001F1F3C">
        <w:rPr>
          <w:rFonts w:eastAsiaTheme="minorHAnsi" w:cstheme="minorBidi"/>
          <w:b/>
          <w:color w:val="595A5B" w:themeColor="text1"/>
          <w:szCs w:val="16"/>
          <w:lang w:val="en-AU"/>
        </w:rPr>
        <w:t>eam</w:t>
      </w:r>
    </w:p>
    <w:p w14:paraId="2C708FB2" w14:textId="77777777" w:rsidR="00EE75B2" w:rsidRPr="001F1F3C" w:rsidRDefault="00EE75B2"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Allison Ball</w:t>
      </w:r>
    </w:p>
    <w:p w14:paraId="72056673" w14:textId="0B7B7664" w:rsidR="00294F34" w:rsidRDefault="00294F34" w:rsidP="00082FE6">
      <w:pPr>
        <w:pStyle w:val="DisclaimerandAcknowledgement"/>
        <w:spacing w:after="0" w:line="240" w:lineRule="auto"/>
        <w:ind w:left="414"/>
        <w:rPr>
          <w:rFonts w:eastAsiaTheme="minorHAnsi" w:cstheme="minorBidi"/>
          <w:color w:val="595A5B" w:themeColor="text1"/>
          <w:szCs w:val="16"/>
          <w:lang w:val="en-AU"/>
        </w:rPr>
      </w:pPr>
      <w:r>
        <w:rPr>
          <w:rFonts w:eastAsiaTheme="minorHAnsi" w:cstheme="minorBidi"/>
          <w:color w:val="595A5B" w:themeColor="text1"/>
          <w:szCs w:val="16"/>
          <w:lang w:val="en-AU"/>
        </w:rPr>
        <w:t>Justin Billing</w:t>
      </w:r>
    </w:p>
    <w:p w14:paraId="0093323F" w14:textId="77777777" w:rsidR="00EE75B2" w:rsidRPr="001F1F3C" w:rsidRDefault="00EE75B2"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Caitlin McCluskey</w:t>
      </w:r>
    </w:p>
    <w:p w14:paraId="29FB387C" w14:textId="77777777" w:rsidR="00EE75B2" w:rsidRPr="001F1F3C" w:rsidRDefault="00EE75B2"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Pam Pham</w:t>
      </w:r>
    </w:p>
    <w:p w14:paraId="25B2BD39" w14:textId="77777777" w:rsidR="00EE75B2" w:rsidRPr="001F1F3C" w:rsidRDefault="00383E95"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Owen Pittman</w:t>
      </w:r>
    </w:p>
    <w:p w14:paraId="2F94C6A2" w14:textId="77777777" w:rsidR="00C82FF0" w:rsidRDefault="00C82FF0" w:rsidP="00C82FF0">
      <w:pPr>
        <w:pStyle w:val="DisclaimerandAcknowledgement"/>
        <w:spacing w:after="0" w:line="240" w:lineRule="auto"/>
        <w:ind w:left="414"/>
        <w:rPr>
          <w:rFonts w:eastAsiaTheme="minorHAnsi" w:cstheme="minorBidi"/>
          <w:color w:val="595A5B" w:themeColor="text1"/>
          <w:szCs w:val="16"/>
          <w:lang w:val="en-AU"/>
        </w:rPr>
      </w:pPr>
      <w:r>
        <w:rPr>
          <w:rFonts w:eastAsiaTheme="minorHAnsi" w:cstheme="minorBidi"/>
          <w:color w:val="595A5B" w:themeColor="text1"/>
          <w:szCs w:val="16"/>
          <w:lang w:val="en-AU"/>
        </w:rPr>
        <w:t>Sean Lawson</w:t>
      </w:r>
    </w:p>
    <w:p w14:paraId="40D3B434" w14:textId="77777777" w:rsidR="00C82FF0" w:rsidRPr="001F1F3C" w:rsidRDefault="00C82FF0" w:rsidP="00C82FF0">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Shamim Ahmad</w:t>
      </w:r>
    </w:p>
    <w:p w14:paraId="55120052" w14:textId="77777777" w:rsidR="00EE75B2" w:rsidRDefault="00D706DF"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Andrew Starr</w:t>
      </w:r>
    </w:p>
    <w:p w14:paraId="1A798125" w14:textId="425C1F5D" w:rsidR="00294F34" w:rsidRPr="001F1F3C" w:rsidRDefault="00294F34" w:rsidP="00082FE6">
      <w:pPr>
        <w:pStyle w:val="DisclaimerandAcknowledgement"/>
        <w:spacing w:after="0" w:line="240" w:lineRule="auto"/>
        <w:ind w:left="414"/>
        <w:rPr>
          <w:rFonts w:eastAsiaTheme="minorHAnsi" w:cstheme="minorBidi"/>
          <w:color w:val="595A5B" w:themeColor="text1"/>
          <w:szCs w:val="16"/>
          <w:lang w:val="en-AU"/>
        </w:rPr>
      </w:pPr>
      <w:r>
        <w:rPr>
          <w:rFonts w:eastAsiaTheme="minorHAnsi" w:cstheme="minorBidi"/>
          <w:color w:val="595A5B" w:themeColor="text1"/>
          <w:szCs w:val="16"/>
          <w:lang w:val="en-AU"/>
        </w:rPr>
        <w:t>Jonathon Rousseau</w:t>
      </w:r>
    </w:p>
    <w:p w14:paraId="19D5457E" w14:textId="25D7B610" w:rsidR="00CD3E10" w:rsidRPr="001F1F3C" w:rsidRDefault="00CD3E10" w:rsidP="00082FE6">
      <w:pPr>
        <w:pStyle w:val="DisclaimerandAcknowledgement"/>
        <w:spacing w:after="0" w:line="240" w:lineRule="auto"/>
        <w:ind w:left="414"/>
        <w:rPr>
          <w:rFonts w:eastAsiaTheme="minorHAnsi" w:cstheme="minorBidi"/>
          <w:color w:val="595A5B" w:themeColor="text1"/>
          <w:szCs w:val="16"/>
          <w:lang w:val="en-AU"/>
        </w:rPr>
      </w:pPr>
      <w:r>
        <w:rPr>
          <w:rFonts w:eastAsiaTheme="minorHAnsi" w:cstheme="minorBidi"/>
          <w:color w:val="595A5B" w:themeColor="text1"/>
          <w:szCs w:val="16"/>
          <w:lang w:val="en-AU"/>
        </w:rPr>
        <w:t>Nicholas Lambert</w:t>
      </w:r>
    </w:p>
    <w:p w14:paraId="44E98A0E" w14:textId="77777777" w:rsidR="00EE75B2" w:rsidRPr="001F1F3C" w:rsidRDefault="00EE75B2" w:rsidP="00082FE6">
      <w:pPr>
        <w:pStyle w:val="DisclaimerandAcknowledgement"/>
        <w:spacing w:after="0" w:line="240" w:lineRule="auto"/>
        <w:ind w:left="414"/>
        <w:rPr>
          <w:rFonts w:eastAsiaTheme="minorHAnsi" w:cstheme="minorBidi"/>
          <w:color w:val="595A5B" w:themeColor="text1"/>
          <w:szCs w:val="16"/>
          <w:lang w:val="en-AU"/>
        </w:rPr>
      </w:pPr>
    </w:p>
    <w:p w14:paraId="4E62239C" w14:textId="77777777" w:rsidR="00EE75B2" w:rsidRPr="001F1F3C" w:rsidRDefault="00EE75B2" w:rsidP="00082FE6">
      <w:pPr>
        <w:pStyle w:val="DisclaimerandAcknowledgement"/>
        <w:spacing w:after="0" w:line="240" w:lineRule="auto"/>
        <w:ind w:left="414"/>
        <w:rPr>
          <w:rFonts w:eastAsiaTheme="minorHAnsi" w:cstheme="minorBidi"/>
          <w:color w:val="595A5B" w:themeColor="text1"/>
          <w:szCs w:val="16"/>
          <w:lang w:val="en-AU"/>
        </w:rPr>
      </w:pPr>
    </w:p>
    <w:p w14:paraId="25FD006C" w14:textId="77777777" w:rsidR="00EE75B2" w:rsidRPr="001F1F3C" w:rsidRDefault="00EE75B2" w:rsidP="00082FE6">
      <w:pPr>
        <w:pStyle w:val="DisclaimerandAcknowledgement"/>
        <w:spacing w:after="0" w:line="240" w:lineRule="auto"/>
        <w:ind w:left="414"/>
        <w:rPr>
          <w:rFonts w:eastAsiaTheme="minorHAnsi" w:cstheme="minorBidi"/>
          <w:b/>
          <w:color w:val="595A5B" w:themeColor="text1"/>
          <w:szCs w:val="16"/>
          <w:lang w:val="en-AU"/>
        </w:rPr>
      </w:pPr>
      <w:r w:rsidRPr="001F1F3C">
        <w:rPr>
          <w:rFonts w:eastAsiaTheme="minorHAnsi" w:cstheme="minorBidi"/>
          <w:b/>
          <w:color w:val="595A5B" w:themeColor="text1"/>
          <w:szCs w:val="16"/>
          <w:lang w:val="en-AU"/>
        </w:rPr>
        <w:t xml:space="preserve">Acknowledgements </w:t>
      </w:r>
    </w:p>
    <w:p w14:paraId="76060686" w14:textId="77777777" w:rsidR="00EE75B2" w:rsidRPr="001F1F3C" w:rsidRDefault="00EE75B2"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 xml:space="preserve">The authors would like to express their appreciation for the assistance and support provided by colleagues in </w:t>
      </w:r>
      <w:r w:rsidR="00D706DF" w:rsidRPr="001F1F3C">
        <w:rPr>
          <w:rFonts w:eastAsiaTheme="minorHAnsi" w:cstheme="minorBidi"/>
          <w:color w:val="595A5B" w:themeColor="text1"/>
          <w:szCs w:val="16"/>
          <w:lang w:val="en-AU"/>
        </w:rPr>
        <w:t xml:space="preserve">the Department of the Environment and Energy, </w:t>
      </w:r>
      <w:r w:rsidRPr="001F1F3C">
        <w:rPr>
          <w:rFonts w:eastAsiaTheme="minorHAnsi" w:cstheme="minorBidi"/>
          <w:color w:val="595A5B" w:themeColor="text1"/>
          <w:szCs w:val="16"/>
          <w:lang w:val="en-AU"/>
        </w:rPr>
        <w:t>the Department of Industry, Innovation and Science, the Clean Energy Regulator, the Bureau of Infrastructure, Transport and Regional Economics, and the Australian Bureau of Statistics.</w:t>
      </w:r>
    </w:p>
    <w:p w14:paraId="603533F8" w14:textId="77777777" w:rsidR="00EE75B2" w:rsidRPr="001F1F3C" w:rsidRDefault="00EE75B2" w:rsidP="00082FE6">
      <w:pPr>
        <w:pStyle w:val="DisclaimerandAcknowledgement"/>
        <w:spacing w:after="0" w:line="240" w:lineRule="auto"/>
        <w:ind w:left="414"/>
        <w:rPr>
          <w:rFonts w:eastAsiaTheme="minorHAnsi" w:cstheme="minorBidi"/>
          <w:color w:val="595A5B" w:themeColor="text1"/>
          <w:szCs w:val="16"/>
          <w:lang w:val="en-AU"/>
        </w:rPr>
      </w:pPr>
    </w:p>
    <w:p w14:paraId="7417A382" w14:textId="77777777" w:rsidR="00E347A0" w:rsidRPr="001F1F3C" w:rsidRDefault="00E347A0" w:rsidP="00082FE6">
      <w:pPr>
        <w:pStyle w:val="DisclaimerandAcknowledgement"/>
        <w:spacing w:after="0" w:line="240" w:lineRule="auto"/>
        <w:ind w:left="414"/>
        <w:rPr>
          <w:rFonts w:eastAsiaTheme="minorHAnsi" w:cstheme="minorBidi"/>
          <w:color w:val="595A5B" w:themeColor="text1"/>
          <w:szCs w:val="16"/>
          <w:lang w:val="en-AU"/>
        </w:rPr>
      </w:pPr>
    </w:p>
    <w:p w14:paraId="00399175" w14:textId="4FA349D2" w:rsidR="00C777F1" w:rsidRPr="00C777F1" w:rsidRDefault="00E347A0" w:rsidP="00C777F1">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 xml:space="preserve">Cover image: </w:t>
      </w:r>
      <w:r w:rsidR="009D5AE5">
        <w:rPr>
          <w:rFonts w:eastAsiaTheme="minorHAnsi" w:cstheme="minorBidi"/>
          <w:color w:val="595A5B" w:themeColor="text1"/>
          <w:szCs w:val="16"/>
          <w:lang w:val="en-AU"/>
        </w:rPr>
        <w:t>Power lines</w:t>
      </w:r>
      <w:r w:rsidR="00C777F1">
        <w:rPr>
          <w:rFonts w:eastAsiaTheme="minorHAnsi" w:cstheme="minorBidi"/>
          <w:color w:val="595A5B" w:themeColor="text1"/>
          <w:szCs w:val="16"/>
          <w:lang w:val="en-AU"/>
        </w:rPr>
        <w:t>, Canberra ACT</w:t>
      </w:r>
    </w:p>
    <w:p w14:paraId="49E89A14" w14:textId="11377AFD" w:rsidR="00E347A0" w:rsidRPr="001F1F3C" w:rsidRDefault="00E347A0" w:rsidP="00082FE6">
      <w:pPr>
        <w:pStyle w:val="DisclaimerandAcknowledgement"/>
        <w:spacing w:after="0" w:line="240" w:lineRule="auto"/>
        <w:ind w:left="414"/>
        <w:rPr>
          <w:rFonts w:eastAsiaTheme="minorHAnsi" w:cstheme="minorBidi"/>
          <w:color w:val="595A5B" w:themeColor="text1"/>
          <w:szCs w:val="16"/>
          <w:lang w:val="en-AU"/>
        </w:rPr>
      </w:pPr>
    </w:p>
    <w:p w14:paraId="7B6BC1CF" w14:textId="77777777" w:rsidR="00E347A0" w:rsidRPr="001F1F3C" w:rsidRDefault="00E347A0" w:rsidP="00082FE6">
      <w:pPr>
        <w:pStyle w:val="DisclaimerandAcknowledgement"/>
        <w:spacing w:after="0" w:line="240" w:lineRule="auto"/>
        <w:ind w:left="414"/>
        <w:rPr>
          <w:rFonts w:eastAsiaTheme="minorHAnsi" w:cstheme="minorBidi"/>
          <w:color w:val="595A5B" w:themeColor="text1"/>
          <w:szCs w:val="16"/>
          <w:lang w:val="en-AU"/>
        </w:rPr>
      </w:pPr>
    </w:p>
    <w:p w14:paraId="6FF72C84" w14:textId="77777777" w:rsidR="00EE75B2" w:rsidRPr="001F1F3C" w:rsidRDefault="00EE75B2" w:rsidP="00082FE6">
      <w:pPr>
        <w:pStyle w:val="DisclaimerandAcknowledgement"/>
        <w:spacing w:after="0" w:line="240" w:lineRule="auto"/>
        <w:ind w:left="414"/>
        <w:rPr>
          <w:rFonts w:eastAsiaTheme="minorHAnsi" w:cstheme="minorBidi"/>
          <w:color w:val="595A5B" w:themeColor="text1"/>
          <w:szCs w:val="16"/>
          <w:lang w:val="en-AU"/>
        </w:rPr>
      </w:pPr>
    </w:p>
    <w:p w14:paraId="26CA23C2" w14:textId="77777777" w:rsidR="006877C2" w:rsidRDefault="00EE75B2"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ISSN (Online):</w:t>
      </w:r>
      <w:r w:rsidR="006877C2">
        <w:rPr>
          <w:rFonts w:eastAsiaTheme="minorHAnsi" w:cstheme="minorBidi"/>
          <w:color w:val="595A5B" w:themeColor="text1"/>
          <w:szCs w:val="16"/>
          <w:lang w:val="en-AU"/>
        </w:rPr>
        <w:t xml:space="preserve"> 2203-8337 </w:t>
      </w:r>
      <w:r w:rsidRPr="001F1F3C">
        <w:rPr>
          <w:rFonts w:eastAsiaTheme="minorHAnsi" w:cstheme="minorBidi"/>
          <w:color w:val="595A5B" w:themeColor="text1"/>
          <w:szCs w:val="16"/>
          <w:lang w:val="en-AU"/>
        </w:rPr>
        <w:t xml:space="preserve"> </w:t>
      </w:r>
    </w:p>
    <w:p w14:paraId="7E0DE16F" w14:textId="77777777" w:rsidR="006877C2" w:rsidRDefault="006877C2" w:rsidP="00082FE6">
      <w:pPr>
        <w:pStyle w:val="DisclaimerandAcknowledgement"/>
        <w:spacing w:after="0" w:line="240" w:lineRule="auto"/>
        <w:ind w:left="414"/>
        <w:rPr>
          <w:rFonts w:eastAsiaTheme="minorHAnsi" w:cstheme="minorBidi"/>
          <w:color w:val="595A5B" w:themeColor="text1"/>
          <w:szCs w:val="16"/>
          <w:lang w:val="en-AU"/>
        </w:rPr>
      </w:pPr>
    </w:p>
    <w:p w14:paraId="7638237D" w14:textId="77777777" w:rsidR="006877C2" w:rsidRDefault="006877C2" w:rsidP="00082FE6">
      <w:pPr>
        <w:pStyle w:val="DisclaimerandAcknowledgement"/>
        <w:spacing w:after="0" w:line="240" w:lineRule="auto"/>
        <w:ind w:left="414"/>
        <w:rPr>
          <w:rFonts w:eastAsiaTheme="minorHAnsi" w:cstheme="minorBidi"/>
          <w:color w:val="595A5B" w:themeColor="text1"/>
          <w:szCs w:val="16"/>
          <w:lang w:val="en-AU"/>
        </w:rPr>
      </w:pPr>
    </w:p>
    <w:p w14:paraId="140252C6" w14:textId="33CA96F4" w:rsidR="005E5471" w:rsidRPr="001F1F3C" w:rsidRDefault="005E5471"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 xml:space="preserve">© Copyright Commonwealth of Australia, </w:t>
      </w:r>
      <w:r w:rsidR="003F2CCE" w:rsidRPr="001F1F3C">
        <w:rPr>
          <w:rFonts w:eastAsiaTheme="minorHAnsi" w:cstheme="minorBidi"/>
          <w:color w:val="595A5B" w:themeColor="text1"/>
          <w:szCs w:val="16"/>
          <w:lang w:val="en-AU"/>
        </w:rPr>
        <w:t>2018</w:t>
      </w:r>
      <w:r w:rsidRPr="001F1F3C">
        <w:rPr>
          <w:rFonts w:eastAsiaTheme="minorHAnsi" w:cstheme="minorBidi"/>
          <w:color w:val="595A5B" w:themeColor="text1"/>
          <w:szCs w:val="16"/>
          <w:lang w:val="en-AU"/>
        </w:rPr>
        <w:t>.</w:t>
      </w:r>
    </w:p>
    <w:p w14:paraId="382E2390" w14:textId="77777777" w:rsidR="005E5471" w:rsidRPr="001F1F3C" w:rsidRDefault="005E5471" w:rsidP="00082FE6">
      <w:pPr>
        <w:pStyle w:val="DisclaimerandAcknowledgement"/>
        <w:spacing w:after="0" w:line="240" w:lineRule="auto"/>
        <w:ind w:left="414"/>
        <w:rPr>
          <w:rFonts w:eastAsiaTheme="minorHAnsi" w:cstheme="minorBidi"/>
          <w:color w:val="595A5B" w:themeColor="text1"/>
          <w:szCs w:val="16"/>
          <w:lang w:val="en-AU"/>
        </w:rPr>
      </w:pPr>
    </w:p>
    <w:p w14:paraId="5D17168A" w14:textId="77777777" w:rsidR="005E5471" w:rsidRPr="001F1F3C" w:rsidRDefault="005E5471" w:rsidP="00082FE6">
      <w:pPr>
        <w:pStyle w:val="DisclaimerandAcknowledgement"/>
        <w:spacing w:after="0" w:line="240" w:lineRule="auto"/>
        <w:ind w:left="414"/>
        <w:rPr>
          <w:rFonts w:eastAsiaTheme="minorHAnsi" w:cstheme="minorBidi"/>
          <w:color w:val="595A5B" w:themeColor="text1"/>
          <w:szCs w:val="16"/>
          <w:lang w:val="en-AU"/>
        </w:rPr>
      </w:pPr>
      <w:r w:rsidRPr="007B2D68">
        <w:rPr>
          <w:rFonts w:ascii="Verdana" w:eastAsia="Times New Roman" w:hAnsi="Verdana" w:cs="Times New Roman"/>
          <w:noProof/>
          <w:color w:val="000000"/>
          <w:sz w:val="19"/>
          <w:szCs w:val="19"/>
          <w:lang w:val="en-AU" w:eastAsia="en-AU"/>
        </w:rPr>
        <w:drawing>
          <wp:inline distT="0" distB="0" distL="0" distR="0" wp14:anchorId="3BB100CF" wp14:editId="1078CD0F">
            <wp:extent cx="1227411" cy="429442"/>
            <wp:effectExtent l="0" t="0" r="0" b="8890"/>
            <wp:docPr id="6" name="Picture 6" descr="Creative Commons" title="Creative Common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27411" cy="429442"/>
                    </a:xfrm>
                    <a:prstGeom prst="rect">
                      <a:avLst/>
                    </a:prstGeom>
                  </pic:spPr>
                </pic:pic>
              </a:graphicData>
            </a:graphic>
          </wp:inline>
        </w:drawing>
      </w:r>
      <w:r w:rsidRPr="001F1F3C">
        <w:rPr>
          <w:rFonts w:ascii="Verdana" w:eastAsia="Times New Roman" w:hAnsi="Verdana" w:cs="Times New Roman"/>
          <w:color w:val="000000"/>
          <w:sz w:val="19"/>
          <w:szCs w:val="19"/>
          <w:lang w:eastAsia="en-AU"/>
        </w:rPr>
        <w:br/>
      </w:r>
    </w:p>
    <w:p w14:paraId="59C8940F" w14:textId="1AFD3804" w:rsidR="005E5471" w:rsidRPr="001F1F3C" w:rsidRDefault="005E5471"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 xml:space="preserve">Australian Energy Update </w:t>
      </w:r>
      <w:r w:rsidR="003F2CCE" w:rsidRPr="001F1F3C">
        <w:rPr>
          <w:rFonts w:eastAsiaTheme="minorHAnsi" w:cstheme="minorBidi"/>
          <w:color w:val="595A5B" w:themeColor="text1"/>
          <w:szCs w:val="16"/>
          <w:lang w:val="en-AU"/>
        </w:rPr>
        <w:t>2018</w:t>
      </w:r>
      <w:r w:rsidRPr="001F1F3C">
        <w:rPr>
          <w:rFonts w:eastAsiaTheme="minorHAnsi" w:cstheme="minorBidi"/>
          <w:color w:val="595A5B" w:themeColor="text1"/>
          <w:szCs w:val="16"/>
          <w:lang w:val="en-AU"/>
        </w:rPr>
        <w:t xml:space="preserve"> is licensed by the Commonwealth of Australia for use under a Creative Commons Attribution 4.0 International licence with the exception of the Coat of Arms of the Commonwealth of Australia, the logo of the agency responsible for publishing the report, content supplied by third parties, and any images depicting people. For licence conditions see: </w:t>
      </w:r>
      <w:hyperlink r:id="rId16" w:history="1">
        <w:r w:rsidRPr="001F1F3C">
          <w:rPr>
            <w:rStyle w:val="Hyperlink"/>
            <w:rFonts w:eastAsiaTheme="minorHAnsi" w:cstheme="minorBidi"/>
            <w:szCs w:val="16"/>
            <w:lang w:val="en-AU"/>
          </w:rPr>
          <w:t>https://creativecommons.org/licenses/by/4.0/</w:t>
        </w:r>
      </w:hyperlink>
      <w:r w:rsidRPr="001F1F3C">
        <w:rPr>
          <w:rFonts w:eastAsiaTheme="minorHAnsi" w:cstheme="minorBidi"/>
          <w:color w:val="595A5B" w:themeColor="text1"/>
          <w:szCs w:val="16"/>
          <w:lang w:val="en-AU"/>
        </w:rPr>
        <w:t xml:space="preserve"> </w:t>
      </w:r>
    </w:p>
    <w:p w14:paraId="7EE4DAD0" w14:textId="77777777" w:rsidR="005E5471" w:rsidRPr="001F1F3C" w:rsidRDefault="005E5471" w:rsidP="00082FE6">
      <w:pPr>
        <w:pStyle w:val="DisclaimerandAcknowledgement"/>
        <w:spacing w:after="0" w:line="240" w:lineRule="auto"/>
        <w:ind w:left="414"/>
        <w:rPr>
          <w:rFonts w:eastAsiaTheme="minorHAnsi" w:cstheme="minorBidi"/>
          <w:color w:val="595A5B" w:themeColor="text1"/>
          <w:szCs w:val="16"/>
          <w:lang w:val="en-AU"/>
        </w:rPr>
      </w:pPr>
    </w:p>
    <w:p w14:paraId="440847A9" w14:textId="2402798C" w:rsidR="00EE75B2" w:rsidRPr="001F1F3C" w:rsidRDefault="005E5471"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 xml:space="preserve">This report should be attributed as ‘Australian Energy Update, Commonwealth of Australia </w:t>
      </w:r>
      <w:r w:rsidR="003F2CCE" w:rsidRPr="001F1F3C">
        <w:rPr>
          <w:rFonts w:eastAsiaTheme="minorHAnsi" w:cstheme="minorBidi"/>
          <w:color w:val="595A5B" w:themeColor="text1"/>
          <w:szCs w:val="16"/>
          <w:lang w:val="en-AU"/>
        </w:rPr>
        <w:t>2018</w:t>
      </w:r>
      <w:r w:rsidRPr="001F1F3C">
        <w:rPr>
          <w:rFonts w:eastAsiaTheme="minorHAnsi" w:cstheme="minorBidi"/>
          <w:color w:val="595A5B" w:themeColor="text1"/>
          <w:szCs w:val="16"/>
          <w:lang w:val="en-AU"/>
        </w:rPr>
        <w:t>’.</w:t>
      </w:r>
      <w:r w:rsidR="00AB1F86">
        <w:rPr>
          <w:rFonts w:eastAsiaTheme="minorHAnsi" w:cstheme="minorBidi"/>
          <w:color w:val="595A5B" w:themeColor="text1"/>
          <w:szCs w:val="16"/>
          <w:lang w:val="en-AU"/>
        </w:rPr>
        <w:t xml:space="preserve"> </w:t>
      </w:r>
      <w:r w:rsidRPr="001F1F3C">
        <w:rPr>
          <w:rFonts w:eastAsiaTheme="minorHAnsi" w:cstheme="minorBidi"/>
          <w:color w:val="595A5B" w:themeColor="text1"/>
          <w:szCs w:val="16"/>
          <w:lang w:val="en-AU"/>
        </w:rPr>
        <w:t>The Commonwealth of Australia has made all reasonable efforts to identify content supplied by third parties using the following format ‘© Copyright, [name of third party] ’.</w:t>
      </w:r>
    </w:p>
    <w:p w14:paraId="0CB1E73A" w14:textId="77777777" w:rsidR="005E5471" w:rsidRPr="001F1F3C" w:rsidRDefault="005E5471" w:rsidP="00082FE6">
      <w:pPr>
        <w:pStyle w:val="DisclaimerandAcknowledgement"/>
        <w:spacing w:after="0" w:line="240" w:lineRule="auto"/>
        <w:ind w:left="414"/>
        <w:rPr>
          <w:rFonts w:eastAsiaTheme="minorHAnsi" w:cstheme="minorBidi"/>
          <w:color w:val="595A5B" w:themeColor="text1"/>
          <w:szCs w:val="16"/>
          <w:lang w:val="en-AU"/>
        </w:rPr>
      </w:pPr>
    </w:p>
    <w:p w14:paraId="200064D4" w14:textId="43C7B9BB" w:rsidR="00275A25" w:rsidRPr="001F1F3C" w:rsidRDefault="00275A25"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The views and opinions expressed in this publication are those of the authors and do not necessarily reflect those of the Australian Government or the Minister</w:t>
      </w:r>
      <w:r w:rsidR="00C06D15">
        <w:rPr>
          <w:rFonts w:eastAsiaTheme="minorHAnsi" w:cstheme="minorBidi"/>
          <w:color w:val="595A5B" w:themeColor="text1"/>
          <w:szCs w:val="16"/>
          <w:lang w:val="en-AU"/>
        </w:rPr>
        <w:t>s</w:t>
      </w:r>
      <w:bookmarkStart w:id="0" w:name="_GoBack"/>
      <w:bookmarkEnd w:id="0"/>
      <w:r w:rsidRPr="001F1F3C">
        <w:rPr>
          <w:rFonts w:eastAsiaTheme="minorHAnsi" w:cstheme="minorBidi"/>
          <w:color w:val="595A5B" w:themeColor="text1"/>
          <w:szCs w:val="16"/>
          <w:lang w:val="en-AU"/>
        </w:rPr>
        <w:t xml:space="preserve"> for the Environment and Energy.</w:t>
      </w:r>
    </w:p>
    <w:p w14:paraId="4A28DACD" w14:textId="77777777" w:rsidR="00742B0D" w:rsidRPr="001F1F3C" w:rsidRDefault="00742B0D" w:rsidP="00082FE6">
      <w:pPr>
        <w:pStyle w:val="DisclaimerandAcknowledgement"/>
        <w:spacing w:after="0" w:line="240" w:lineRule="auto"/>
        <w:ind w:left="414"/>
        <w:rPr>
          <w:rFonts w:eastAsiaTheme="minorHAnsi" w:cstheme="minorBidi"/>
          <w:color w:val="595A5B" w:themeColor="text1"/>
          <w:szCs w:val="16"/>
          <w:lang w:val="en-AU"/>
        </w:rPr>
      </w:pPr>
    </w:p>
    <w:p w14:paraId="1C5ED6BF" w14:textId="77777777" w:rsidR="00742B0D" w:rsidRPr="001F1F3C" w:rsidRDefault="00742B0D"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While reasonable efforts have been made to ensure that the contents of this publication are factually correct, the Commonwealth does not accept responsibility for the accuracy or completeness of the contents, and shall not be liable for any loss or damage that may be occasioned directly or indirectly through the use of, or reliance on, the contents of this publication.</w:t>
      </w:r>
    </w:p>
    <w:p w14:paraId="7D6122EB" w14:textId="77777777" w:rsidR="00742B0D" w:rsidRPr="001F1F3C" w:rsidRDefault="00742B0D" w:rsidP="00082FE6">
      <w:pPr>
        <w:pStyle w:val="DisclaimerandAcknowledgement"/>
        <w:spacing w:after="0" w:line="240" w:lineRule="auto"/>
        <w:ind w:left="414"/>
        <w:rPr>
          <w:rFonts w:eastAsiaTheme="minorHAnsi" w:cstheme="minorBidi"/>
          <w:color w:val="595A5B" w:themeColor="text1"/>
          <w:szCs w:val="16"/>
          <w:lang w:val="en-AU"/>
        </w:rPr>
      </w:pPr>
    </w:p>
    <w:p w14:paraId="128580CB" w14:textId="77777777" w:rsidR="00742B0D" w:rsidRPr="001F1F3C" w:rsidRDefault="00742B0D" w:rsidP="00082FE6">
      <w:pPr>
        <w:pStyle w:val="DisclaimerandAcknowledgement"/>
        <w:spacing w:after="0" w:line="240" w:lineRule="auto"/>
        <w:ind w:left="414"/>
        <w:rPr>
          <w:rFonts w:eastAsiaTheme="minorHAnsi" w:cstheme="minorBidi"/>
          <w:color w:val="595A5B" w:themeColor="text1"/>
          <w:szCs w:val="16"/>
          <w:lang w:val="en-AU"/>
        </w:rPr>
      </w:pPr>
      <w:r w:rsidRPr="001F1F3C">
        <w:rPr>
          <w:rFonts w:eastAsiaTheme="minorHAnsi" w:cstheme="minorBidi"/>
          <w:color w:val="595A5B" w:themeColor="text1"/>
          <w:szCs w:val="16"/>
          <w:lang w:val="en-AU"/>
        </w:rPr>
        <w:t>The Department acknowledges the traditional owners of country throughout Australia and their continuing connection to land, sea and community. We pay our respects to them and their cultures and to their elders both past and present.</w:t>
      </w:r>
    </w:p>
    <w:p w14:paraId="26AAA31F" w14:textId="77777777" w:rsidR="00EE75B2" w:rsidRPr="001F1F3C" w:rsidRDefault="00EE75B2" w:rsidP="00EE75B2">
      <w:pPr>
        <w:spacing w:after="200" w:line="276" w:lineRule="auto"/>
        <w:ind w:left="0"/>
        <w:jc w:val="left"/>
        <w:rPr>
          <w:color w:val="595A5B" w:themeColor="text1"/>
          <w:sz w:val="16"/>
          <w:szCs w:val="16"/>
        </w:rPr>
      </w:pPr>
      <w:r w:rsidRPr="001F1F3C">
        <w:rPr>
          <w:color w:val="595A5B" w:themeColor="text1"/>
          <w:szCs w:val="16"/>
        </w:rPr>
        <w:br w:type="page"/>
      </w:r>
    </w:p>
    <w:p w14:paraId="782D27F0" w14:textId="77777777" w:rsidR="00EE75B2" w:rsidRPr="001F1F3C" w:rsidRDefault="00EE75B2" w:rsidP="00082FE6">
      <w:pPr>
        <w:pStyle w:val="UnnumberedHeading"/>
        <w:ind w:left="720"/>
      </w:pPr>
      <w:r w:rsidRPr="001F1F3C">
        <w:lastRenderedPageBreak/>
        <w:t>Foreword</w:t>
      </w:r>
    </w:p>
    <w:p w14:paraId="77622A54" w14:textId="77777777" w:rsidR="00BD37C5" w:rsidRPr="001F1F3C" w:rsidRDefault="00BD37C5" w:rsidP="00082FE6">
      <w:pPr>
        <w:pStyle w:val="BodyText"/>
        <w:ind w:left="720"/>
        <w:rPr>
          <w:lang w:val="en-GB"/>
        </w:rPr>
      </w:pPr>
    </w:p>
    <w:p w14:paraId="0BFEDA5F" w14:textId="0DFDBAF1" w:rsidR="00EE75B2" w:rsidRPr="001F1F3C" w:rsidRDefault="001432FA" w:rsidP="00082FE6">
      <w:pPr>
        <w:pStyle w:val="BodyText"/>
        <w:ind w:left="720"/>
        <w:rPr>
          <w:lang w:val="en-GB"/>
        </w:rPr>
      </w:pPr>
      <w:r>
        <w:rPr>
          <w:lang w:val="en-GB"/>
        </w:rPr>
        <w:t>The way we supply and use e</w:t>
      </w:r>
      <w:r w:rsidR="00EE75B2" w:rsidRPr="001F1F3C">
        <w:rPr>
          <w:lang w:val="en-GB"/>
        </w:rPr>
        <w:t xml:space="preserve">nergy in Australia </w:t>
      </w:r>
      <w:r>
        <w:rPr>
          <w:lang w:val="en-GB"/>
        </w:rPr>
        <w:t>continues to change</w:t>
      </w:r>
      <w:r w:rsidR="00EE75B2" w:rsidRPr="001F1F3C">
        <w:rPr>
          <w:lang w:val="en-GB"/>
        </w:rPr>
        <w:t xml:space="preserve">. </w:t>
      </w:r>
      <w:r>
        <w:rPr>
          <w:lang w:val="en-GB"/>
        </w:rPr>
        <w:t>This includes changes in t</w:t>
      </w:r>
      <w:r w:rsidR="00EE75B2" w:rsidRPr="001F1F3C">
        <w:rPr>
          <w:lang w:val="en-GB"/>
        </w:rPr>
        <w:t>he type of energy we use</w:t>
      </w:r>
      <w:r>
        <w:rPr>
          <w:lang w:val="en-GB"/>
        </w:rPr>
        <w:t>,</w:t>
      </w:r>
      <w:r w:rsidR="00EE75B2" w:rsidRPr="001F1F3C">
        <w:rPr>
          <w:lang w:val="en-GB"/>
        </w:rPr>
        <w:t xml:space="preserve"> how we use </w:t>
      </w:r>
      <w:r>
        <w:rPr>
          <w:lang w:val="en-GB"/>
        </w:rPr>
        <w:t>it and where it comes from,</w:t>
      </w:r>
      <w:r w:rsidR="00EE75B2" w:rsidRPr="001F1F3C">
        <w:rPr>
          <w:lang w:val="en-GB"/>
        </w:rPr>
        <w:t xml:space="preserve"> as new technologies are adopted</w:t>
      </w:r>
      <w:r w:rsidR="00DB2CBC" w:rsidRPr="001F1F3C">
        <w:rPr>
          <w:lang w:val="en-GB"/>
        </w:rPr>
        <w:t>,</w:t>
      </w:r>
      <w:r w:rsidR="00EE75B2" w:rsidRPr="001F1F3C">
        <w:rPr>
          <w:lang w:val="en-GB"/>
        </w:rPr>
        <w:t xml:space="preserve"> as our economy </w:t>
      </w:r>
      <w:r w:rsidR="00BE7107">
        <w:rPr>
          <w:lang w:val="en-GB"/>
        </w:rPr>
        <w:t xml:space="preserve">grows and </w:t>
      </w:r>
      <w:r w:rsidR="00EE75B2" w:rsidRPr="001F1F3C">
        <w:rPr>
          <w:lang w:val="en-GB"/>
        </w:rPr>
        <w:t xml:space="preserve">changes in </w:t>
      </w:r>
      <w:r w:rsidR="00EE75B2" w:rsidRPr="00506F78">
        <w:t>s</w:t>
      </w:r>
      <w:r w:rsidR="00EE75B2" w:rsidRPr="001F1F3C">
        <w:rPr>
          <w:lang w:val="en-GB"/>
        </w:rPr>
        <w:t>tructure</w:t>
      </w:r>
      <w:r>
        <w:rPr>
          <w:lang w:val="en-GB"/>
        </w:rPr>
        <w:t>,</w:t>
      </w:r>
      <w:r w:rsidR="00DB2CBC" w:rsidRPr="001F1F3C">
        <w:rPr>
          <w:lang w:val="en-GB"/>
        </w:rPr>
        <w:t xml:space="preserve"> and as awareness of our energy use </w:t>
      </w:r>
      <w:r w:rsidR="008B3E20">
        <w:rPr>
          <w:lang w:val="en-GB"/>
        </w:rPr>
        <w:t xml:space="preserve">and its economic and environmental cost </w:t>
      </w:r>
      <w:r w:rsidR="00DB2CBC" w:rsidRPr="001F1F3C">
        <w:rPr>
          <w:lang w:val="en-GB"/>
        </w:rPr>
        <w:t>grows</w:t>
      </w:r>
      <w:r w:rsidR="00EE75B2" w:rsidRPr="001F1F3C">
        <w:rPr>
          <w:lang w:val="en-GB"/>
        </w:rPr>
        <w:t>.</w:t>
      </w:r>
      <w:r w:rsidR="00DB2CBC" w:rsidRPr="001F1F3C">
        <w:rPr>
          <w:lang w:val="en-GB"/>
        </w:rPr>
        <w:t xml:space="preserve"> </w:t>
      </w:r>
    </w:p>
    <w:p w14:paraId="4B0C19BF" w14:textId="7A854C26" w:rsidR="00EE75B2" w:rsidRPr="001F1F3C" w:rsidRDefault="00EE75B2" w:rsidP="00082FE6">
      <w:pPr>
        <w:pStyle w:val="BodyText"/>
        <w:ind w:left="720"/>
        <w:rPr>
          <w:rFonts w:cs="MyriadPro-Light"/>
          <w:color w:val="000000"/>
          <w:spacing w:val="2"/>
          <w:lang w:val="en-GB"/>
        </w:rPr>
      </w:pPr>
      <w:r w:rsidRPr="001F1F3C">
        <w:rPr>
          <w:lang w:val="en-GB"/>
        </w:rPr>
        <w:t>To help understand these and other changes, to plan for Australia’s energy future</w:t>
      </w:r>
      <w:r w:rsidR="00950ED6">
        <w:rPr>
          <w:lang w:val="en-GB"/>
        </w:rPr>
        <w:t>,</w:t>
      </w:r>
      <w:r w:rsidRPr="001F1F3C">
        <w:rPr>
          <w:lang w:val="en-GB"/>
        </w:rPr>
        <w:t xml:space="preserve"> and to make sound policy and investment decisions, we need </w:t>
      </w:r>
      <w:r w:rsidR="008B3E20">
        <w:rPr>
          <w:lang w:val="en-GB"/>
        </w:rPr>
        <w:t xml:space="preserve">timely, </w:t>
      </w:r>
      <w:r w:rsidRPr="001F1F3C">
        <w:t xml:space="preserve">accurate, comprehensive and readily-accessible energy </w:t>
      </w:r>
      <w:r w:rsidR="00BE7107">
        <w:t>statistics</w:t>
      </w:r>
      <w:r w:rsidRPr="001F1F3C">
        <w:t>.</w:t>
      </w:r>
      <w:r w:rsidRPr="001F1F3C">
        <w:rPr>
          <w:rFonts w:cs="MyriadPro-Light"/>
          <w:color w:val="000000"/>
          <w:spacing w:val="2"/>
          <w:lang w:val="en-GB"/>
        </w:rPr>
        <w:t xml:space="preserve"> </w:t>
      </w:r>
    </w:p>
    <w:p w14:paraId="38DFCA21" w14:textId="66C74324" w:rsidR="001432FA" w:rsidRDefault="00EE75B2" w:rsidP="00082FE6">
      <w:pPr>
        <w:pStyle w:val="BodyText"/>
        <w:ind w:left="720"/>
        <w:rPr>
          <w:lang w:val="en-GB"/>
        </w:rPr>
      </w:pPr>
      <w:r w:rsidRPr="001F1F3C">
        <w:rPr>
          <w:lang w:val="en-GB"/>
        </w:rPr>
        <w:t xml:space="preserve">The </w:t>
      </w:r>
      <w:r w:rsidRPr="001F1F3C">
        <w:rPr>
          <w:i/>
          <w:lang w:val="en-GB"/>
        </w:rPr>
        <w:t>Australian Energy Statistics</w:t>
      </w:r>
      <w:r w:rsidRPr="001F1F3C">
        <w:rPr>
          <w:lang w:val="en-GB"/>
        </w:rPr>
        <w:t xml:space="preserve"> is the authoritative and official source of energy statistics for Australia to support decision making</w:t>
      </w:r>
      <w:r w:rsidR="008B3E20">
        <w:rPr>
          <w:lang w:val="en-GB"/>
        </w:rPr>
        <w:t xml:space="preserve"> and international reporting</w:t>
      </w:r>
      <w:r w:rsidRPr="001F1F3C">
        <w:rPr>
          <w:lang w:val="en-GB"/>
        </w:rPr>
        <w:t xml:space="preserve">, and </w:t>
      </w:r>
      <w:r w:rsidR="00BE7107">
        <w:rPr>
          <w:lang w:val="en-GB"/>
        </w:rPr>
        <w:t xml:space="preserve">to </w:t>
      </w:r>
      <w:r w:rsidRPr="001F1F3C">
        <w:rPr>
          <w:lang w:val="en-GB"/>
        </w:rPr>
        <w:t xml:space="preserve">help understand how our energy supply and use is changing. It is updated each year and consists of detailed historical energy consumption, production and trade statistics and balances. </w:t>
      </w:r>
      <w:r w:rsidR="00BD37C5" w:rsidRPr="001F1F3C">
        <w:rPr>
          <w:lang w:val="en-GB"/>
        </w:rPr>
        <w:t xml:space="preserve">It includes all types of energy and all parts of the economy. </w:t>
      </w:r>
    </w:p>
    <w:p w14:paraId="2A4486CF" w14:textId="08185499" w:rsidR="00D1094D" w:rsidRPr="001F1F3C" w:rsidRDefault="00EE75B2" w:rsidP="00082FE6">
      <w:pPr>
        <w:pStyle w:val="BodyText"/>
        <w:ind w:left="720"/>
      </w:pPr>
      <w:r w:rsidRPr="001F1F3C">
        <w:rPr>
          <w:lang w:val="en-GB"/>
        </w:rPr>
        <w:t xml:space="preserve">This edition contains </w:t>
      </w:r>
      <w:r w:rsidR="009F67EF">
        <w:rPr>
          <w:lang w:val="en-GB"/>
        </w:rPr>
        <w:t>data to</w:t>
      </w:r>
      <w:r w:rsidRPr="001F1F3C">
        <w:rPr>
          <w:lang w:val="en-GB"/>
        </w:rPr>
        <w:t xml:space="preserve"> </w:t>
      </w:r>
      <w:r w:rsidR="003F2CCE" w:rsidRPr="001F1F3C">
        <w:rPr>
          <w:lang w:val="en-GB"/>
        </w:rPr>
        <w:t>2016–17</w:t>
      </w:r>
      <w:r w:rsidRPr="001F1F3C">
        <w:rPr>
          <w:lang w:val="en-GB"/>
        </w:rPr>
        <w:t xml:space="preserve">. </w:t>
      </w:r>
      <w:r w:rsidR="00A50BD5">
        <w:rPr>
          <w:lang w:val="en-GB"/>
        </w:rPr>
        <w:t>T</w:t>
      </w:r>
      <w:r w:rsidR="00DB2CBC" w:rsidRPr="001F1F3C">
        <w:rPr>
          <w:lang w:val="en-GB"/>
        </w:rPr>
        <w:t>h</w:t>
      </w:r>
      <w:r w:rsidR="00A50BD5">
        <w:rPr>
          <w:lang w:val="en-GB"/>
        </w:rPr>
        <w:t>is report, the</w:t>
      </w:r>
      <w:r w:rsidR="00DB2CBC" w:rsidRPr="001F1F3C">
        <w:rPr>
          <w:lang w:val="en-GB"/>
        </w:rPr>
        <w:t xml:space="preserve"> full dataset</w:t>
      </w:r>
      <w:r w:rsidR="00950ED6">
        <w:rPr>
          <w:lang w:val="en-GB"/>
        </w:rPr>
        <w:t>,</w:t>
      </w:r>
      <w:r w:rsidR="00DB2CBC" w:rsidRPr="001F1F3C">
        <w:rPr>
          <w:lang w:val="en-GB"/>
        </w:rPr>
        <w:t xml:space="preserve"> and guide are </w:t>
      </w:r>
      <w:r w:rsidRPr="001F1F3C">
        <w:rPr>
          <w:lang w:val="en-GB"/>
        </w:rPr>
        <w:t xml:space="preserve">available at </w:t>
      </w:r>
      <w:hyperlink r:id="rId17" w:history="1">
        <w:r w:rsidR="00A50BD5" w:rsidRPr="001A7AA7">
          <w:rPr>
            <w:rStyle w:val="Hyperlink"/>
            <w:lang w:val="en-GB"/>
          </w:rPr>
          <w:t>https://www.energy.gov.au/government-priorities/energy-data/australian-energy-statistics</w:t>
        </w:r>
      </w:hyperlink>
      <w:r w:rsidR="00D1094D" w:rsidRPr="001F1F3C">
        <w:rPr>
          <w:lang w:val="en-GB"/>
        </w:rPr>
        <w:t>.</w:t>
      </w:r>
    </w:p>
    <w:p w14:paraId="0B2C68F0" w14:textId="6EFCB804" w:rsidR="00B0727E" w:rsidRDefault="00B0727E" w:rsidP="00BE7107">
      <w:pPr>
        <w:pStyle w:val="BodyText"/>
        <w:ind w:left="720"/>
        <w:rPr>
          <w:lang w:val="en-GB"/>
        </w:rPr>
      </w:pPr>
      <w:r>
        <w:rPr>
          <w:lang w:val="en-GB"/>
        </w:rPr>
        <w:t xml:space="preserve">This year we have published additional </w:t>
      </w:r>
      <w:r w:rsidR="008B3E20">
        <w:rPr>
          <w:lang w:val="en-GB"/>
        </w:rPr>
        <w:t>statistics</w:t>
      </w:r>
      <w:r>
        <w:rPr>
          <w:lang w:val="en-GB"/>
        </w:rPr>
        <w:t xml:space="preserve"> </w:t>
      </w:r>
      <w:r w:rsidR="00BE7107">
        <w:rPr>
          <w:lang w:val="en-GB"/>
        </w:rPr>
        <w:t>on</w:t>
      </w:r>
      <w:r>
        <w:rPr>
          <w:lang w:val="en-GB"/>
        </w:rPr>
        <w:t xml:space="preserve"> industrial electricity generation and use of gas in LNG plants, as well as energy sourced from waste.</w:t>
      </w:r>
    </w:p>
    <w:p w14:paraId="3CB4173D" w14:textId="034FF542" w:rsidR="00EE75B2" w:rsidRPr="001F1F3C" w:rsidRDefault="00BD37C5" w:rsidP="00082FE6">
      <w:pPr>
        <w:pStyle w:val="BodyText"/>
        <w:ind w:left="720"/>
        <w:jc w:val="left"/>
        <w:rPr>
          <w:lang w:val="en-GB"/>
        </w:rPr>
      </w:pPr>
      <w:r w:rsidRPr="001F1F3C">
        <w:rPr>
          <w:lang w:val="en-GB"/>
        </w:rPr>
        <w:t>F</w:t>
      </w:r>
      <w:r w:rsidR="00EE75B2" w:rsidRPr="001F1F3C">
        <w:rPr>
          <w:lang w:val="en-GB"/>
        </w:rPr>
        <w:t xml:space="preserve">eedback </w:t>
      </w:r>
      <w:r w:rsidR="00D1094D" w:rsidRPr="001F1F3C">
        <w:rPr>
          <w:lang w:val="en-GB"/>
        </w:rPr>
        <w:t xml:space="preserve">regarding the Australian Energy Statistics </w:t>
      </w:r>
      <w:r w:rsidR="00EE75B2" w:rsidRPr="001F1F3C">
        <w:rPr>
          <w:lang w:val="en-GB"/>
        </w:rPr>
        <w:t>can be provided to</w:t>
      </w:r>
      <w:r w:rsidR="00D1094D" w:rsidRPr="001F1F3C">
        <w:rPr>
          <w:lang w:val="en-GB"/>
        </w:rPr>
        <w:t xml:space="preserve"> </w:t>
      </w:r>
      <w:hyperlink r:id="rId18" w:history="1">
        <w:r w:rsidR="00FD0DED" w:rsidRPr="00082FE6">
          <w:rPr>
            <w:rStyle w:val="Hyperlink"/>
            <w:lang w:val="en-GB"/>
          </w:rPr>
          <w:t>australianenergystatistics@environment.gov.au</w:t>
        </w:r>
      </w:hyperlink>
      <w:r w:rsidR="00EE75B2" w:rsidRPr="001F1F3C">
        <w:rPr>
          <w:lang w:val="en-GB"/>
        </w:rPr>
        <w:t>.</w:t>
      </w:r>
    </w:p>
    <w:p w14:paraId="63EC4EA8" w14:textId="77777777" w:rsidR="00EE75B2" w:rsidRPr="001F1F3C" w:rsidRDefault="00EE75B2" w:rsidP="00082FE6">
      <w:pPr>
        <w:pStyle w:val="BodyText"/>
        <w:spacing w:after="0"/>
        <w:ind w:left="720"/>
        <w:rPr>
          <w:lang w:val="en-GB"/>
        </w:rPr>
      </w:pPr>
    </w:p>
    <w:p w14:paraId="7B927884" w14:textId="77777777" w:rsidR="00EE75B2" w:rsidRPr="001F1F3C" w:rsidRDefault="00EE75B2" w:rsidP="00082FE6">
      <w:pPr>
        <w:pStyle w:val="BodyText"/>
        <w:spacing w:after="0"/>
        <w:ind w:left="720"/>
        <w:rPr>
          <w:lang w:val="en-GB"/>
        </w:rPr>
      </w:pPr>
    </w:p>
    <w:p w14:paraId="3D2658F6" w14:textId="77777777" w:rsidR="00EE75B2" w:rsidRPr="001F1F3C" w:rsidRDefault="00DB2CBC" w:rsidP="00082FE6">
      <w:pPr>
        <w:pStyle w:val="BodyText"/>
        <w:spacing w:after="0"/>
        <w:ind w:left="720"/>
        <w:rPr>
          <w:lang w:val="en-GB"/>
        </w:rPr>
      </w:pPr>
      <w:r w:rsidRPr="001F1F3C">
        <w:rPr>
          <w:lang w:val="en-GB"/>
        </w:rPr>
        <w:t xml:space="preserve">Energy Statistics and Analysis </w:t>
      </w:r>
      <w:r w:rsidR="00BD37C5" w:rsidRPr="001F1F3C">
        <w:rPr>
          <w:lang w:val="en-GB"/>
        </w:rPr>
        <w:t>S</w:t>
      </w:r>
      <w:r w:rsidRPr="001F1F3C">
        <w:rPr>
          <w:lang w:val="en-GB"/>
        </w:rPr>
        <w:t>ection</w:t>
      </w:r>
    </w:p>
    <w:p w14:paraId="032FBCB3" w14:textId="77777777" w:rsidR="00EE75B2" w:rsidRPr="001F1F3C" w:rsidRDefault="00EE75B2" w:rsidP="00082FE6">
      <w:pPr>
        <w:pStyle w:val="BodyText"/>
        <w:spacing w:after="0"/>
        <w:ind w:left="720"/>
        <w:rPr>
          <w:lang w:val="en-GB"/>
        </w:rPr>
      </w:pPr>
      <w:r w:rsidRPr="001F1F3C">
        <w:rPr>
          <w:lang w:val="en-GB"/>
        </w:rPr>
        <w:t xml:space="preserve">Department of </w:t>
      </w:r>
      <w:r w:rsidR="00DB2CBC" w:rsidRPr="001F1F3C">
        <w:rPr>
          <w:lang w:val="en-GB"/>
        </w:rPr>
        <w:t>the Environment and Energy</w:t>
      </w:r>
    </w:p>
    <w:p w14:paraId="5966BEA5" w14:textId="6FBDF8A3" w:rsidR="00EE75B2" w:rsidRPr="001F1F3C" w:rsidRDefault="00DB2CBC" w:rsidP="00082FE6">
      <w:pPr>
        <w:pStyle w:val="BodyText"/>
        <w:spacing w:after="0"/>
        <w:ind w:left="720"/>
        <w:rPr>
          <w:lang w:val="en-GB"/>
        </w:rPr>
      </w:pPr>
      <w:r w:rsidRPr="001F1F3C">
        <w:rPr>
          <w:lang w:val="en-GB"/>
        </w:rPr>
        <w:t xml:space="preserve">August </w:t>
      </w:r>
      <w:r w:rsidR="003F2CCE" w:rsidRPr="001F1F3C">
        <w:rPr>
          <w:lang w:val="en-GB"/>
        </w:rPr>
        <w:t>2018</w:t>
      </w:r>
    </w:p>
    <w:p w14:paraId="55ACB2CF" w14:textId="77777777" w:rsidR="00EE75B2" w:rsidRPr="001F1F3C" w:rsidRDefault="00EE75B2" w:rsidP="00082FE6">
      <w:pPr>
        <w:pStyle w:val="BodyText"/>
        <w:spacing w:after="0"/>
        <w:rPr>
          <w:lang w:val="en-GB"/>
        </w:rPr>
      </w:pPr>
    </w:p>
    <w:p w14:paraId="5D548B23" w14:textId="20D0F62E" w:rsidR="00EE75B2" w:rsidRPr="001F1F3C" w:rsidRDefault="00EE75B2" w:rsidP="00EE75B2">
      <w:pPr>
        <w:spacing w:after="200" w:line="276" w:lineRule="auto"/>
        <w:ind w:left="0"/>
        <w:jc w:val="left"/>
        <w:rPr>
          <w:rFonts w:asciiTheme="minorHAnsi" w:hAnsiTheme="minorHAnsi"/>
          <w:lang w:val="en-GB"/>
        </w:rPr>
      </w:pPr>
      <w:r w:rsidRPr="001F1F3C">
        <w:rPr>
          <w:lang w:val="en-GB"/>
        </w:rPr>
        <w:br w:type="page"/>
      </w:r>
    </w:p>
    <w:sdt>
      <w:sdtPr>
        <w:rPr>
          <w:rFonts w:ascii="Arial" w:eastAsiaTheme="minorHAnsi" w:hAnsi="Arial" w:cstheme="minorBidi"/>
          <w:b w:val="0"/>
          <w:bCs w:val="0"/>
          <w:color w:val="595A5B"/>
          <w:sz w:val="20"/>
          <w:szCs w:val="22"/>
          <w:lang w:eastAsia="en-US"/>
        </w:rPr>
        <w:id w:val="-453329640"/>
        <w:docPartObj>
          <w:docPartGallery w:val="Table of Contents"/>
          <w:docPartUnique/>
        </w:docPartObj>
      </w:sdtPr>
      <w:sdtEndPr>
        <w:rPr>
          <w:noProof/>
        </w:rPr>
      </w:sdtEndPr>
      <w:sdtContent>
        <w:p w14:paraId="7310FD74" w14:textId="68ADE6D8" w:rsidR="00243AF9" w:rsidRPr="00811310" w:rsidRDefault="00243AF9" w:rsidP="00C14173">
          <w:pPr>
            <w:pStyle w:val="TOCHeading"/>
            <w:numPr>
              <w:ilvl w:val="0"/>
              <w:numId w:val="0"/>
            </w:numPr>
            <w:ind w:left="-284"/>
            <w:rPr>
              <w:rFonts w:ascii="Arial" w:eastAsia="Times New Roman" w:hAnsi="Arial" w:cs="Times New Roman"/>
              <w:bCs w:val="0"/>
              <w:color w:val="292B67" w:themeColor="accent1"/>
              <w:kern w:val="32"/>
              <w:sz w:val="32"/>
              <w:szCs w:val="20"/>
              <w:lang w:eastAsia="en-US"/>
            </w:rPr>
          </w:pPr>
          <w:r w:rsidRPr="00811310">
            <w:rPr>
              <w:rFonts w:ascii="Arial" w:eastAsia="Times New Roman" w:hAnsi="Arial" w:cs="Times New Roman"/>
              <w:bCs w:val="0"/>
              <w:color w:val="292B67" w:themeColor="accent1"/>
              <w:kern w:val="32"/>
              <w:sz w:val="32"/>
              <w:szCs w:val="20"/>
              <w:lang w:eastAsia="en-US"/>
            </w:rPr>
            <w:t>Contents</w:t>
          </w:r>
        </w:p>
        <w:p w14:paraId="75BD09D9" w14:textId="004E3EC0" w:rsidR="003348D2" w:rsidRPr="003348D2" w:rsidRDefault="00243AF9" w:rsidP="003348D2">
          <w:pPr>
            <w:pStyle w:val="TOC1"/>
            <w:rPr>
              <w:rFonts w:asciiTheme="minorHAnsi" w:eastAsiaTheme="minorEastAsia" w:hAnsiTheme="minorHAnsi"/>
              <w:b w:val="0"/>
              <w:color w:val="auto"/>
              <w:sz w:val="22"/>
              <w:szCs w:val="22"/>
              <w:lang w:eastAsia="en-AU"/>
            </w:rPr>
          </w:pPr>
          <w:r>
            <w:fldChar w:fldCharType="begin"/>
          </w:r>
          <w:r>
            <w:instrText xml:space="preserve"> TOC \o "1-3" \h \z \u </w:instrText>
          </w:r>
          <w:r>
            <w:fldChar w:fldCharType="separate"/>
          </w:r>
          <w:hyperlink w:anchor="_Toc522633178" w:history="1">
            <w:r w:rsidR="003348D2" w:rsidRPr="0086653E">
              <w:rPr>
                <w:rStyle w:val="Hyperlink"/>
              </w:rPr>
              <w:t>Executive summary</w:t>
            </w:r>
            <w:r w:rsidR="003348D2">
              <w:rPr>
                <w:webHidden/>
              </w:rPr>
              <w:tab/>
            </w:r>
            <w:r w:rsidR="003348D2">
              <w:rPr>
                <w:webHidden/>
              </w:rPr>
              <w:fldChar w:fldCharType="begin"/>
            </w:r>
            <w:r w:rsidR="003348D2">
              <w:rPr>
                <w:webHidden/>
              </w:rPr>
              <w:instrText xml:space="preserve"> PAGEREF _Toc522633178 \h </w:instrText>
            </w:r>
            <w:r w:rsidR="003348D2">
              <w:rPr>
                <w:webHidden/>
              </w:rPr>
            </w:r>
            <w:r w:rsidR="003348D2">
              <w:rPr>
                <w:webHidden/>
              </w:rPr>
              <w:fldChar w:fldCharType="separate"/>
            </w:r>
            <w:r w:rsidR="00F97945">
              <w:rPr>
                <w:webHidden/>
              </w:rPr>
              <w:t>1</w:t>
            </w:r>
            <w:r w:rsidR="003348D2">
              <w:rPr>
                <w:webHidden/>
              </w:rPr>
              <w:fldChar w:fldCharType="end"/>
            </w:r>
          </w:hyperlink>
        </w:p>
        <w:p w14:paraId="5EAA1A09" w14:textId="77777777" w:rsidR="003348D2" w:rsidRDefault="00C06D15">
          <w:pPr>
            <w:pStyle w:val="TOC1"/>
            <w:rPr>
              <w:rFonts w:asciiTheme="minorHAnsi" w:eastAsiaTheme="minorEastAsia" w:hAnsiTheme="minorHAnsi"/>
              <w:b w:val="0"/>
              <w:color w:val="auto"/>
              <w:sz w:val="22"/>
              <w:szCs w:val="22"/>
              <w:lang w:eastAsia="en-AU"/>
            </w:rPr>
          </w:pPr>
          <w:hyperlink w:anchor="_Toc522633183" w:history="1">
            <w:r w:rsidR="003348D2" w:rsidRPr="0086653E">
              <w:rPr>
                <w:rStyle w:val="Hyperlink"/>
              </w:rPr>
              <w:t>1.</w:t>
            </w:r>
            <w:r w:rsidR="003348D2">
              <w:rPr>
                <w:rFonts w:asciiTheme="minorHAnsi" w:eastAsiaTheme="minorEastAsia" w:hAnsiTheme="minorHAnsi"/>
                <w:b w:val="0"/>
                <w:color w:val="auto"/>
                <w:sz w:val="22"/>
                <w:szCs w:val="22"/>
                <w:lang w:eastAsia="en-AU"/>
              </w:rPr>
              <w:tab/>
            </w:r>
            <w:r w:rsidR="003348D2" w:rsidRPr="0086653E">
              <w:rPr>
                <w:rStyle w:val="Hyperlink"/>
              </w:rPr>
              <w:t>About the Australian Energy Statistics</w:t>
            </w:r>
            <w:r w:rsidR="003348D2">
              <w:rPr>
                <w:webHidden/>
              </w:rPr>
              <w:tab/>
            </w:r>
            <w:r w:rsidR="003348D2">
              <w:rPr>
                <w:webHidden/>
              </w:rPr>
              <w:fldChar w:fldCharType="begin"/>
            </w:r>
            <w:r w:rsidR="003348D2">
              <w:rPr>
                <w:webHidden/>
              </w:rPr>
              <w:instrText xml:space="preserve"> PAGEREF _Toc522633183 \h </w:instrText>
            </w:r>
            <w:r w:rsidR="003348D2">
              <w:rPr>
                <w:webHidden/>
              </w:rPr>
            </w:r>
            <w:r w:rsidR="003348D2">
              <w:rPr>
                <w:webHidden/>
              </w:rPr>
              <w:fldChar w:fldCharType="separate"/>
            </w:r>
            <w:r w:rsidR="00F97945">
              <w:rPr>
                <w:webHidden/>
              </w:rPr>
              <w:t>4</w:t>
            </w:r>
            <w:r w:rsidR="003348D2">
              <w:rPr>
                <w:webHidden/>
              </w:rPr>
              <w:fldChar w:fldCharType="end"/>
            </w:r>
          </w:hyperlink>
        </w:p>
        <w:p w14:paraId="3EB5B3B8" w14:textId="77777777" w:rsidR="003348D2" w:rsidRDefault="00C06D15">
          <w:pPr>
            <w:pStyle w:val="TOC1"/>
            <w:rPr>
              <w:rFonts w:asciiTheme="minorHAnsi" w:eastAsiaTheme="minorEastAsia" w:hAnsiTheme="minorHAnsi"/>
              <w:b w:val="0"/>
              <w:color w:val="auto"/>
              <w:sz w:val="22"/>
              <w:szCs w:val="22"/>
              <w:lang w:eastAsia="en-AU"/>
            </w:rPr>
          </w:pPr>
          <w:hyperlink w:anchor="_Toc522633184" w:history="1">
            <w:r w:rsidR="003348D2" w:rsidRPr="0086653E">
              <w:rPr>
                <w:rStyle w:val="Hyperlink"/>
              </w:rPr>
              <w:t>2.</w:t>
            </w:r>
            <w:r w:rsidR="003348D2">
              <w:rPr>
                <w:rFonts w:asciiTheme="minorHAnsi" w:eastAsiaTheme="minorEastAsia" w:hAnsiTheme="minorHAnsi"/>
                <w:b w:val="0"/>
                <w:color w:val="auto"/>
                <w:sz w:val="22"/>
                <w:szCs w:val="22"/>
                <w:lang w:eastAsia="en-AU"/>
              </w:rPr>
              <w:tab/>
            </w:r>
            <w:r w:rsidR="003348D2" w:rsidRPr="0086653E">
              <w:rPr>
                <w:rStyle w:val="Hyperlink"/>
              </w:rPr>
              <w:t>Energy consumption</w:t>
            </w:r>
            <w:r w:rsidR="003348D2">
              <w:rPr>
                <w:webHidden/>
              </w:rPr>
              <w:tab/>
            </w:r>
            <w:r w:rsidR="003348D2">
              <w:rPr>
                <w:webHidden/>
              </w:rPr>
              <w:fldChar w:fldCharType="begin"/>
            </w:r>
            <w:r w:rsidR="003348D2">
              <w:rPr>
                <w:webHidden/>
              </w:rPr>
              <w:instrText xml:space="preserve"> PAGEREF _Toc522633184 \h </w:instrText>
            </w:r>
            <w:r w:rsidR="003348D2">
              <w:rPr>
                <w:webHidden/>
              </w:rPr>
            </w:r>
            <w:r w:rsidR="003348D2">
              <w:rPr>
                <w:webHidden/>
              </w:rPr>
              <w:fldChar w:fldCharType="separate"/>
            </w:r>
            <w:r w:rsidR="00F97945">
              <w:rPr>
                <w:webHidden/>
              </w:rPr>
              <w:t>6</w:t>
            </w:r>
            <w:r w:rsidR="003348D2">
              <w:rPr>
                <w:webHidden/>
              </w:rPr>
              <w:fldChar w:fldCharType="end"/>
            </w:r>
          </w:hyperlink>
        </w:p>
        <w:p w14:paraId="5BBC7BA0" w14:textId="77777777" w:rsidR="003348D2" w:rsidRDefault="00C06D15">
          <w:pPr>
            <w:pStyle w:val="TOC2"/>
            <w:rPr>
              <w:rFonts w:asciiTheme="minorHAnsi" w:eastAsiaTheme="minorEastAsia" w:hAnsiTheme="minorHAnsi"/>
              <w:color w:val="auto"/>
              <w:sz w:val="22"/>
              <w:lang w:eastAsia="en-AU"/>
            </w:rPr>
          </w:pPr>
          <w:hyperlink w:anchor="_Toc522633185" w:history="1">
            <w:r w:rsidR="003348D2" w:rsidRPr="0086653E">
              <w:rPr>
                <w:rStyle w:val="Hyperlink"/>
              </w:rPr>
              <w:t>2.1</w:t>
            </w:r>
            <w:r w:rsidR="003348D2">
              <w:rPr>
                <w:rFonts w:asciiTheme="minorHAnsi" w:eastAsiaTheme="minorEastAsia" w:hAnsiTheme="minorHAnsi"/>
                <w:color w:val="auto"/>
                <w:sz w:val="22"/>
                <w:lang w:eastAsia="en-AU"/>
              </w:rPr>
              <w:tab/>
            </w:r>
            <w:r w:rsidR="003348D2" w:rsidRPr="0086653E">
              <w:rPr>
                <w:rStyle w:val="Hyperlink"/>
              </w:rPr>
              <w:t>Energy productivity</w:t>
            </w:r>
            <w:r w:rsidR="003348D2">
              <w:rPr>
                <w:webHidden/>
              </w:rPr>
              <w:tab/>
            </w:r>
            <w:r w:rsidR="003348D2">
              <w:rPr>
                <w:webHidden/>
              </w:rPr>
              <w:fldChar w:fldCharType="begin"/>
            </w:r>
            <w:r w:rsidR="003348D2">
              <w:rPr>
                <w:webHidden/>
              </w:rPr>
              <w:instrText xml:space="preserve"> PAGEREF _Toc522633185 \h </w:instrText>
            </w:r>
            <w:r w:rsidR="003348D2">
              <w:rPr>
                <w:webHidden/>
              </w:rPr>
            </w:r>
            <w:r w:rsidR="003348D2">
              <w:rPr>
                <w:webHidden/>
              </w:rPr>
              <w:fldChar w:fldCharType="separate"/>
            </w:r>
            <w:r w:rsidR="00F97945">
              <w:rPr>
                <w:webHidden/>
              </w:rPr>
              <w:t>6</w:t>
            </w:r>
            <w:r w:rsidR="003348D2">
              <w:rPr>
                <w:webHidden/>
              </w:rPr>
              <w:fldChar w:fldCharType="end"/>
            </w:r>
          </w:hyperlink>
        </w:p>
        <w:p w14:paraId="68DF8489" w14:textId="77777777" w:rsidR="003348D2" w:rsidRDefault="00C06D15">
          <w:pPr>
            <w:pStyle w:val="TOC2"/>
            <w:rPr>
              <w:rFonts w:asciiTheme="minorHAnsi" w:eastAsiaTheme="minorEastAsia" w:hAnsiTheme="minorHAnsi"/>
              <w:color w:val="auto"/>
              <w:sz w:val="22"/>
              <w:lang w:eastAsia="en-AU"/>
            </w:rPr>
          </w:pPr>
          <w:hyperlink w:anchor="_Toc522633186" w:history="1">
            <w:r w:rsidR="003348D2" w:rsidRPr="0086653E">
              <w:rPr>
                <w:rStyle w:val="Hyperlink"/>
              </w:rPr>
              <w:t>2.2</w:t>
            </w:r>
            <w:r w:rsidR="003348D2">
              <w:rPr>
                <w:rFonts w:asciiTheme="minorHAnsi" w:eastAsiaTheme="minorEastAsia" w:hAnsiTheme="minorHAnsi"/>
                <w:color w:val="auto"/>
                <w:sz w:val="22"/>
                <w:lang w:eastAsia="en-AU"/>
              </w:rPr>
              <w:tab/>
            </w:r>
            <w:r w:rsidR="003348D2" w:rsidRPr="0086653E">
              <w:rPr>
                <w:rStyle w:val="Hyperlink"/>
              </w:rPr>
              <w:t>Energy consumption, by fuel type</w:t>
            </w:r>
            <w:r w:rsidR="003348D2">
              <w:rPr>
                <w:webHidden/>
              </w:rPr>
              <w:tab/>
            </w:r>
            <w:r w:rsidR="003348D2">
              <w:rPr>
                <w:webHidden/>
              </w:rPr>
              <w:fldChar w:fldCharType="begin"/>
            </w:r>
            <w:r w:rsidR="003348D2">
              <w:rPr>
                <w:webHidden/>
              </w:rPr>
              <w:instrText xml:space="preserve"> PAGEREF _Toc522633186 \h </w:instrText>
            </w:r>
            <w:r w:rsidR="003348D2">
              <w:rPr>
                <w:webHidden/>
              </w:rPr>
            </w:r>
            <w:r w:rsidR="003348D2">
              <w:rPr>
                <w:webHidden/>
              </w:rPr>
              <w:fldChar w:fldCharType="separate"/>
            </w:r>
            <w:r w:rsidR="00F97945">
              <w:rPr>
                <w:webHidden/>
              </w:rPr>
              <w:t>7</w:t>
            </w:r>
            <w:r w:rsidR="003348D2">
              <w:rPr>
                <w:webHidden/>
              </w:rPr>
              <w:fldChar w:fldCharType="end"/>
            </w:r>
          </w:hyperlink>
        </w:p>
        <w:p w14:paraId="61EC6CAF" w14:textId="77777777" w:rsidR="003348D2" w:rsidRDefault="00C06D15">
          <w:pPr>
            <w:pStyle w:val="TOC2"/>
            <w:rPr>
              <w:rFonts w:asciiTheme="minorHAnsi" w:eastAsiaTheme="minorEastAsia" w:hAnsiTheme="minorHAnsi"/>
              <w:color w:val="auto"/>
              <w:sz w:val="22"/>
              <w:lang w:eastAsia="en-AU"/>
            </w:rPr>
          </w:pPr>
          <w:hyperlink w:anchor="_Toc522633187" w:history="1">
            <w:r w:rsidR="003348D2" w:rsidRPr="0086653E">
              <w:rPr>
                <w:rStyle w:val="Hyperlink"/>
              </w:rPr>
              <w:t>2.3</w:t>
            </w:r>
            <w:r w:rsidR="003348D2">
              <w:rPr>
                <w:rFonts w:asciiTheme="minorHAnsi" w:eastAsiaTheme="minorEastAsia" w:hAnsiTheme="minorHAnsi"/>
                <w:color w:val="auto"/>
                <w:sz w:val="22"/>
                <w:lang w:eastAsia="en-AU"/>
              </w:rPr>
              <w:tab/>
            </w:r>
            <w:r w:rsidR="003348D2" w:rsidRPr="0086653E">
              <w:rPr>
                <w:rStyle w:val="Hyperlink"/>
              </w:rPr>
              <w:t>Energy consumption, by sector</w:t>
            </w:r>
            <w:r w:rsidR="003348D2">
              <w:rPr>
                <w:webHidden/>
              </w:rPr>
              <w:tab/>
            </w:r>
            <w:r w:rsidR="003348D2">
              <w:rPr>
                <w:webHidden/>
              </w:rPr>
              <w:fldChar w:fldCharType="begin"/>
            </w:r>
            <w:r w:rsidR="003348D2">
              <w:rPr>
                <w:webHidden/>
              </w:rPr>
              <w:instrText xml:space="preserve"> PAGEREF _Toc522633187 \h </w:instrText>
            </w:r>
            <w:r w:rsidR="003348D2">
              <w:rPr>
                <w:webHidden/>
              </w:rPr>
            </w:r>
            <w:r w:rsidR="003348D2">
              <w:rPr>
                <w:webHidden/>
              </w:rPr>
              <w:fldChar w:fldCharType="separate"/>
            </w:r>
            <w:r w:rsidR="00F97945">
              <w:rPr>
                <w:webHidden/>
              </w:rPr>
              <w:t>10</w:t>
            </w:r>
            <w:r w:rsidR="003348D2">
              <w:rPr>
                <w:webHidden/>
              </w:rPr>
              <w:fldChar w:fldCharType="end"/>
            </w:r>
          </w:hyperlink>
        </w:p>
        <w:p w14:paraId="46126B83" w14:textId="77777777" w:rsidR="003348D2" w:rsidRDefault="00C06D15">
          <w:pPr>
            <w:pStyle w:val="TOC2"/>
            <w:rPr>
              <w:rFonts w:asciiTheme="minorHAnsi" w:eastAsiaTheme="minorEastAsia" w:hAnsiTheme="minorHAnsi"/>
              <w:color w:val="auto"/>
              <w:sz w:val="22"/>
              <w:lang w:eastAsia="en-AU"/>
            </w:rPr>
          </w:pPr>
          <w:hyperlink w:anchor="_Toc522633188" w:history="1">
            <w:r w:rsidR="003348D2" w:rsidRPr="0086653E">
              <w:rPr>
                <w:rStyle w:val="Hyperlink"/>
              </w:rPr>
              <w:t>2.4</w:t>
            </w:r>
            <w:r w:rsidR="003348D2">
              <w:rPr>
                <w:rFonts w:asciiTheme="minorHAnsi" w:eastAsiaTheme="minorEastAsia" w:hAnsiTheme="minorHAnsi"/>
                <w:color w:val="auto"/>
                <w:sz w:val="22"/>
                <w:lang w:eastAsia="en-AU"/>
              </w:rPr>
              <w:tab/>
            </w:r>
            <w:r w:rsidR="003348D2" w:rsidRPr="0086653E">
              <w:rPr>
                <w:rStyle w:val="Hyperlink"/>
              </w:rPr>
              <w:t>Final energy consumption</w:t>
            </w:r>
            <w:r w:rsidR="003348D2">
              <w:rPr>
                <w:webHidden/>
              </w:rPr>
              <w:tab/>
            </w:r>
            <w:r w:rsidR="003348D2">
              <w:rPr>
                <w:webHidden/>
              </w:rPr>
              <w:fldChar w:fldCharType="begin"/>
            </w:r>
            <w:r w:rsidR="003348D2">
              <w:rPr>
                <w:webHidden/>
              </w:rPr>
              <w:instrText xml:space="preserve"> PAGEREF _Toc522633188 \h </w:instrText>
            </w:r>
            <w:r w:rsidR="003348D2">
              <w:rPr>
                <w:webHidden/>
              </w:rPr>
            </w:r>
            <w:r w:rsidR="003348D2">
              <w:rPr>
                <w:webHidden/>
              </w:rPr>
              <w:fldChar w:fldCharType="separate"/>
            </w:r>
            <w:r w:rsidR="00F97945">
              <w:rPr>
                <w:webHidden/>
              </w:rPr>
              <w:t>15</w:t>
            </w:r>
            <w:r w:rsidR="003348D2">
              <w:rPr>
                <w:webHidden/>
              </w:rPr>
              <w:fldChar w:fldCharType="end"/>
            </w:r>
          </w:hyperlink>
        </w:p>
        <w:p w14:paraId="4BB356AF" w14:textId="77777777" w:rsidR="003348D2" w:rsidRDefault="00C06D15">
          <w:pPr>
            <w:pStyle w:val="TOC2"/>
            <w:rPr>
              <w:rFonts w:asciiTheme="minorHAnsi" w:eastAsiaTheme="minorEastAsia" w:hAnsiTheme="minorHAnsi"/>
              <w:color w:val="auto"/>
              <w:sz w:val="22"/>
              <w:lang w:eastAsia="en-AU"/>
            </w:rPr>
          </w:pPr>
          <w:hyperlink w:anchor="_Toc522633189" w:history="1">
            <w:r w:rsidR="003348D2" w:rsidRPr="0086653E">
              <w:rPr>
                <w:rStyle w:val="Hyperlink"/>
              </w:rPr>
              <w:t>2.5</w:t>
            </w:r>
            <w:r w:rsidR="003348D2">
              <w:rPr>
                <w:rFonts w:asciiTheme="minorHAnsi" w:eastAsiaTheme="minorEastAsia" w:hAnsiTheme="minorHAnsi"/>
                <w:color w:val="auto"/>
                <w:sz w:val="22"/>
                <w:lang w:eastAsia="en-AU"/>
              </w:rPr>
              <w:tab/>
            </w:r>
            <w:r w:rsidR="003348D2" w:rsidRPr="0086653E">
              <w:rPr>
                <w:rStyle w:val="Hyperlink"/>
              </w:rPr>
              <w:t>Energy use, by state and territory</w:t>
            </w:r>
            <w:r w:rsidR="003348D2">
              <w:rPr>
                <w:webHidden/>
              </w:rPr>
              <w:tab/>
            </w:r>
            <w:r w:rsidR="003348D2">
              <w:rPr>
                <w:webHidden/>
              </w:rPr>
              <w:fldChar w:fldCharType="begin"/>
            </w:r>
            <w:r w:rsidR="003348D2">
              <w:rPr>
                <w:webHidden/>
              </w:rPr>
              <w:instrText xml:space="preserve"> PAGEREF _Toc522633189 \h </w:instrText>
            </w:r>
            <w:r w:rsidR="003348D2">
              <w:rPr>
                <w:webHidden/>
              </w:rPr>
            </w:r>
            <w:r w:rsidR="003348D2">
              <w:rPr>
                <w:webHidden/>
              </w:rPr>
              <w:fldChar w:fldCharType="separate"/>
            </w:r>
            <w:r w:rsidR="00F97945">
              <w:rPr>
                <w:webHidden/>
              </w:rPr>
              <w:t>16</w:t>
            </w:r>
            <w:r w:rsidR="003348D2">
              <w:rPr>
                <w:webHidden/>
              </w:rPr>
              <w:fldChar w:fldCharType="end"/>
            </w:r>
          </w:hyperlink>
        </w:p>
        <w:p w14:paraId="3A11461A" w14:textId="77777777" w:rsidR="003348D2" w:rsidRDefault="00C06D15">
          <w:pPr>
            <w:pStyle w:val="TOC1"/>
            <w:rPr>
              <w:rFonts w:asciiTheme="minorHAnsi" w:eastAsiaTheme="minorEastAsia" w:hAnsiTheme="minorHAnsi"/>
              <w:b w:val="0"/>
              <w:color w:val="auto"/>
              <w:sz w:val="22"/>
              <w:szCs w:val="22"/>
              <w:lang w:eastAsia="en-AU"/>
            </w:rPr>
          </w:pPr>
          <w:hyperlink w:anchor="_Toc522633190" w:history="1">
            <w:r w:rsidR="003348D2" w:rsidRPr="0086653E">
              <w:rPr>
                <w:rStyle w:val="Hyperlink"/>
              </w:rPr>
              <w:t>3.</w:t>
            </w:r>
            <w:r w:rsidR="003348D2">
              <w:rPr>
                <w:rFonts w:asciiTheme="minorHAnsi" w:eastAsiaTheme="minorEastAsia" w:hAnsiTheme="minorHAnsi"/>
                <w:b w:val="0"/>
                <w:color w:val="auto"/>
                <w:sz w:val="22"/>
                <w:szCs w:val="22"/>
                <w:lang w:eastAsia="en-AU"/>
              </w:rPr>
              <w:tab/>
            </w:r>
            <w:r w:rsidR="003348D2" w:rsidRPr="0086653E">
              <w:rPr>
                <w:rStyle w:val="Hyperlink"/>
              </w:rPr>
              <w:t>Energy production</w:t>
            </w:r>
            <w:r w:rsidR="003348D2">
              <w:rPr>
                <w:webHidden/>
              </w:rPr>
              <w:tab/>
            </w:r>
            <w:r w:rsidR="003348D2">
              <w:rPr>
                <w:webHidden/>
              </w:rPr>
              <w:fldChar w:fldCharType="begin"/>
            </w:r>
            <w:r w:rsidR="003348D2">
              <w:rPr>
                <w:webHidden/>
              </w:rPr>
              <w:instrText xml:space="preserve"> PAGEREF _Toc522633190 \h </w:instrText>
            </w:r>
            <w:r w:rsidR="003348D2">
              <w:rPr>
                <w:webHidden/>
              </w:rPr>
            </w:r>
            <w:r w:rsidR="003348D2">
              <w:rPr>
                <w:webHidden/>
              </w:rPr>
              <w:fldChar w:fldCharType="separate"/>
            </w:r>
            <w:r w:rsidR="00F97945">
              <w:rPr>
                <w:webHidden/>
              </w:rPr>
              <w:t>18</w:t>
            </w:r>
            <w:r w:rsidR="003348D2">
              <w:rPr>
                <w:webHidden/>
              </w:rPr>
              <w:fldChar w:fldCharType="end"/>
            </w:r>
          </w:hyperlink>
        </w:p>
        <w:p w14:paraId="43BB14B5" w14:textId="77777777" w:rsidR="003348D2" w:rsidRDefault="00C06D15">
          <w:pPr>
            <w:pStyle w:val="TOC2"/>
            <w:rPr>
              <w:rFonts w:asciiTheme="minorHAnsi" w:eastAsiaTheme="minorEastAsia" w:hAnsiTheme="minorHAnsi"/>
              <w:color w:val="auto"/>
              <w:sz w:val="22"/>
              <w:lang w:eastAsia="en-AU"/>
            </w:rPr>
          </w:pPr>
          <w:hyperlink w:anchor="_Toc522633191" w:history="1">
            <w:r w:rsidR="003348D2" w:rsidRPr="0086653E">
              <w:rPr>
                <w:rStyle w:val="Hyperlink"/>
              </w:rPr>
              <w:t>3.1</w:t>
            </w:r>
            <w:r w:rsidR="003348D2">
              <w:rPr>
                <w:rFonts w:asciiTheme="minorHAnsi" w:eastAsiaTheme="minorEastAsia" w:hAnsiTheme="minorHAnsi"/>
                <w:color w:val="auto"/>
                <w:sz w:val="22"/>
                <w:lang w:eastAsia="en-AU"/>
              </w:rPr>
              <w:tab/>
            </w:r>
            <w:r w:rsidR="003348D2" w:rsidRPr="0086653E">
              <w:rPr>
                <w:rStyle w:val="Hyperlink"/>
              </w:rPr>
              <w:t>Primary production</w:t>
            </w:r>
            <w:r w:rsidR="003348D2">
              <w:rPr>
                <w:webHidden/>
              </w:rPr>
              <w:tab/>
            </w:r>
            <w:r w:rsidR="003348D2">
              <w:rPr>
                <w:webHidden/>
              </w:rPr>
              <w:fldChar w:fldCharType="begin"/>
            </w:r>
            <w:r w:rsidR="003348D2">
              <w:rPr>
                <w:webHidden/>
              </w:rPr>
              <w:instrText xml:space="preserve"> PAGEREF _Toc522633191 \h </w:instrText>
            </w:r>
            <w:r w:rsidR="003348D2">
              <w:rPr>
                <w:webHidden/>
              </w:rPr>
            </w:r>
            <w:r w:rsidR="003348D2">
              <w:rPr>
                <w:webHidden/>
              </w:rPr>
              <w:fldChar w:fldCharType="separate"/>
            </w:r>
            <w:r w:rsidR="00F97945">
              <w:rPr>
                <w:webHidden/>
              </w:rPr>
              <w:t>18</w:t>
            </w:r>
            <w:r w:rsidR="003348D2">
              <w:rPr>
                <w:webHidden/>
              </w:rPr>
              <w:fldChar w:fldCharType="end"/>
            </w:r>
          </w:hyperlink>
        </w:p>
        <w:p w14:paraId="7B16459B" w14:textId="77777777" w:rsidR="003348D2" w:rsidRDefault="00C06D15">
          <w:pPr>
            <w:pStyle w:val="TOC2"/>
            <w:rPr>
              <w:rFonts w:asciiTheme="minorHAnsi" w:eastAsiaTheme="minorEastAsia" w:hAnsiTheme="minorHAnsi"/>
              <w:color w:val="auto"/>
              <w:sz w:val="22"/>
              <w:lang w:eastAsia="en-AU"/>
            </w:rPr>
          </w:pPr>
          <w:hyperlink w:anchor="_Toc522633192" w:history="1">
            <w:r w:rsidR="003348D2" w:rsidRPr="0086653E">
              <w:rPr>
                <w:rStyle w:val="Hyperlink"/>
              </w:rPr>
              <w:t>3.2</w:t>
            </w:r>
            <w:r w:rsidR="003348D2">
              <w:rPr>
                <w:rFonts w:asciiTheme="minorHAnsi" w:eastAsiaTheme="minorEastAsia" w:hAnsiTheme="minorHAnsi"/>
                <w:color w:val="auto"/>
                <w:sz w:val="22"/>
                <w:lang w:eastAsia="en-AU"/>
              </w:rPr>
              <w:tab/>
            </w:r>
            <w:r w:rsidR="003348D2" w:rsidRPr="0086653E">
              <w:rPr>
                <w:rStyle w:val="Hyperlink"/>
              </w:rPr>
              <w:t>Electricity generation</w:t>
            </w:r>
            <w:r w:rsidR="003348D2">
              <w:rPr>
                <w:webHidden/>
              </w:rPr>
              <w:tab/>
            </w:r>
            <w:r w:rsidR="003348D2">
              <w:rPr>
                <w:webHidden/>
              </w:rPr>
              <w:fldChar w:fldCharType="begin"/>
            </w:r>
            <w:r w:rsidR="003348D2">
              <w:rPr>
                <w:webHidden/>
              </w:rPr>
              <w:instrText xml:space="preserve"> PAGEREF _Toc522633192 \h </w:instrText>
            </w:r>
            <w:r w:rsidR="003348D2">
              <w:rPr>
                <w:webHidden/>
              </w:rPr>
            </w:r>
            <w:r w:rsidR="003348D2">
              <w:rPr>
                <w:webHidden/>
              </w:rPr>
              <w:fldChar w:fldCharType="separate"/>
            </w:r>
            <w:r w:rsidR="00F97945">
              <w:rPr>
                <w:webHidden/>
              </w:rPr>
              <w:t>20</w:t>
            </w:r>
            <w:r w:rsidR="003348D2">
              <w:rPr>
                <w:webHidden/>
              </w:rPr>
              <w:fldChar w:fldCharType="end"/>
            </w:r>
          </w:hyperlink>
        </w:p>
        <w:p w14:paraId="2079540E" w14:textId="77777777" w:rsidR="003348D2" w:rsidRDefault="00C06D15">
          <w:pPr>
            <w:pStyle w:val="TOC2"/>
            <w:rPr>
              <w:rFonts w:asciiTheme="minorHAnsi" w:eastAsiaTheme="minorEastAsia" w:hAnsiTheme="minorHAnsi"/>
              <w:color w:val="auto"/>
              <w:sz w:val="22"/>
              <w:lang w:eastAsia="en-AU"/>
            </w:rPr>
          </w:pPr>
          <w:hyperlink w:anchor="_Toc522633193" w:history="1">
            <w:r w:rsidR="003348D2" w:rsidRPr="0086653E">
              <w:rPr>
                <w:rStyle w:val="Hyperlink"/>
              </w:rPr>
              <w:t>3.3</w:t>
            </w:r>
            <w:r w:rsidR="003348D2">
              <w:rPr>
                <w:rFonts w:asciiTheme="minorHAnsi" w:eastAsiaTheme="minorEastAsia" w:hAnsiTheme="minorHAnsi"/>
                <w:color w:val="auto"/>
                <w:sz w:val="22"/>
                <w:lang w:eastAsia="en-AU"/>
              </w:rPr>
              <w:tab/>
            </w:r>
            <w:r w:rsidR="003348D2" w:rsidRPr="0086653E">
              <w:rPr>
                <w:rStyle w:val="Hyperlink"/>
              </w:rPr>
              <w:t>Electricity generation in calendar year 2017</w:t>
            </w:r>
            <w:r w:rsidR="003348D2">
              <w:rPr>
                <w:webHidden/>
              </w:rPr>
              <w:tab/>
            </w:r>
            <w:r w:rsidR="003348D2">
              <w:rPr>
                <w:webHidden/>
              </w:rPr>
              <w:fldChar w:fldCharType="begin"/>
            </w:r>
            <w:r w:rsidR="003348D2">
              <w:rPr>
                <w:webHidden/>
              </w:rPr>
              <w:instrText xml:space="preserve"> PAGEREF _Toc522633193 \h </w:instrText>
            </w:r>
            <w:r w:rsidR="003348D2">
              <w:rPr>
                <w:webHidden/>
              </w:rPr>
            </w:r>
            <w:r w:rsidR="003348D2">
              <w:rPr>
                <w:webHidden/>
              </w:rPr>
              <w:fldChar w:fldCharType="separate"/>
            </w:r>
            <w:r w:rsidR="00F97945">
              <w:rPr>
                <w:webHidden/>
              </w:rPr>
              <w:t>24</w:t>
            </w:r>
            <w:r w:rsidR="003348D2">
              <w:rPr>
                <w:webHidden/>
              </w:rPr>
              <w:fldChar w:fldCharType="end"/>
            </w:r>
          </w:hyperlink>
        </w:p>
        <w:p w14:paraId="699A6397" w14:textId="77777777" w:rsidR="003348D2" w:rsidRDefault="00C06D15">
          <w:pPr>
            <w:pStyle w:val="TOC1"/>
            <w:rPr>
              <w:rFonts w:asciiTheme="minorHAnsi" w:eastAsiaTheme="minorEastAsia" w:hAnsiTheme="minorHAnsi"/>
              <w:b w:val="0"/>
              <w:color w:val="auto"/>
              <w:sz w:val="22"/>
              <w:szCs w:val="22"/>
              <w:lang w:eastAsia="en-AU"/>
            </w:rPr>
          </w:pPr>
          <w:hyperlink w:anchor="_Toc522633194" w:history="1">
            <w:r w:rsidR="003348D2" w:rsidRPr="0086653E">
              <w:rPr>
                <w:rStyle w:val="Hyperlink"/>
              </w:rPr>
              <w:t>4.</w:t>
            </w:r>
            <w:r w:rsidR="003348D2">
              <w:rPr>
                <w:rFonts w:asciiTheme="minorHAnsi" w:eastAsiaTheme="minorEastAsia" w:hAnsiTheme="minorHAnsi"/>
                <w:b w:val="0"/>
                <w:color w:val="auto"/>
                <w:sz w:val="22"/>
                <w:szCs w:val="22"/>
                <w:lang w:eastAsia="en-AU"/>
              </w:rPr>
              <w:tab/>
            </w:r>
            <w:r w:rsidR="003348D2" w:rsidRPr="0086653E">
              <w:rPr>
                <w:rStyle w:val="Hyperlink"/>
              </w:rPr>
              <w:t>Energy trade</w:t>
            </w:r>
            <w:r w:rsidR="003348D2">
              <w:rPr>
                <w:webHidden/>
              </w:rPr>
              <w:tab/>
            </w:r>
            <w:r w:rsidR="003348D2">
              <w:rPr>
                <w:webHidden/>
              </w:rPr>
              <w:fldChar w:fldCharType="begin"/>
            </w:r>
            <w:r w:rsidR="003348D2">
              <w:rPr>
                <w:webHidden/>
              </w:rPr>
              <w:instrText xml:space="preserve"> PAGEREF _Toc522633194 \h </w:instrText>
            </w:r>
            <w:r w:rsidR="003348D2">
              <w:rPr>
                <w:webHidden/>
              </w:rPr>
            </w:r>
            <w:r w:rsidR="003348D2">
              <w:rPr>
                <w:webHidden/>
              </w:rPr>
              <w:fldChar w:fldCharType="separate"/>
            </w:r>
            <w:r w:rsidR="00F97945">
              <w:rPr>
                <w:webHidden/>
              </w:rPr>
              <w:t>27</w:t>
            </w:r>
            <w:r w:rsidR="003348D2">
              <w:rPr>
                <w:webHidden/>
              </w:rPr>
              <w:fldChar w:fldCharType="end"/>
            </w:r>
          </w:hyperlink>
        </w:p>
        <w:p w14:paraId="62EB9522" w14:textId="77777777" w:rsidR="003348D2" w:rsidRDefault="00C06D15">
          <w:pPr>
            <w:pStyle w:val="TOC2"/>
            <w:rPr>
              <w:rFonts w:asciiTheme="minorHAnsi" w:eastAsiaTheme="minorEastAsia" w:hAnsiTheme="minorHAnsi"/>
              <w:color w:val="auto"/>
              <w:sz w:val="22"/>
              <w:lang w:eastAsia="en-AU"/>
            </w:rPr>
          </w:pPr>
          <w:hyperlink w:anchor="_Toc522633195" w:history="1">
            <w:r w:rsidR="003348D2" w:rsidRPr="0086653E">
              <w:rPr>
                <w:rStyle w:val="Hyperlink"/>
              </w:rPr>
              <w:t>4.1</w:t>
            </w:r>
            <w:r w:rsidR="003348D2">
              <w:rPr>
                <w:rFonts w:asciiTheme="minorHAnsi" w:eastAsiaTheme="minorEastAsia" w:hAnsiTheme="minorHAnsi"/>
                <w:color w:val="auto"/>
                <w:sz w:val="22"/>
                <w:lang w:eastAsia="en-AU"/>
              </w:rPr>
              <w:tab/>
            </w:r>
            <w:r w:rsidR="003348D2" w:rsidRPr="0086653E">
              <w:rPr>
                <w:rStyle w:val="Hyperlink"/>
              </w:rPr>
              <w:t>Exports</w:t>
            </w:r>
            <w:r w:rsidR="003348D2">
              <w:rPr>
                <w:webHidden/>
              </w:rPr>
              <w:tab/>
            </w:r>
            <w:r w:rsidR="003348D2">
              <w:rPr>
                <w:webHidden/>
              </w:rPr>
              <w:fldChar w:fldCharType="begin"/>
            </w:r>
            <w:r w:rsidR="003348D2">
              <w:rPr>
                <w:webHidden/>
              </w:rPr>
              <w:instrText xml:space="preserve"> PAGEREF _Toc522633195 \h </w:instrText>
            </w:r>
            <w:r w:rsidR="003348D2">
              <w:rPr>
                <w:webHidden/>
              </w:rPr>
            </w:r>
            <w:r w:rsidR="003348D2">
              <w:rPr>
                <w:webHidden/>
              </w:rPr>
              <w:fldChar w:fldCharType="separate"/>
            </w:r>
            <w:r w:rsidR="00F97945">
              <w:rPr>
                <w:webHidden/>
              </w:rPr>
              <w:t>27</w:t>
            </w:r>
            <w:r w:rsidR="003348D2">
              <w:rPr>
                <w:webHidden/>
              </w:rPr>
              <w:fldChar w:fldCharType="end"/>
            </w:r>
          </w:hyperlink>
        </w:p>
        <w:p w14:paraId="02C52E2B" w14:textId="77777777" w:rsidR="003348D2" w:rsidRDefault="00C06D15">
          <w:pPr>
            <w:pStyle w:val="TOC2"/>
            <w:rPr>
              <w:rFonts w:asciiTheme="minorHAnsi" w:eastAsiaTheme="minorEastAsia" w:hAnsiTheme="minorHAnsi"/>
              <w:color w:val="auto"/>
              <w:sz w:val="22"/>
              <w:lang w:eastAsia="en-AU"/>
            </w:rPr>
          </w:pPr>
          <w:hyperlink w:anchor="_Toc522633196" w:history="1">
            <w:r w:rsidR="003348D2" w:rsidRPr="0086653E">
              <w:rPr>
                <w:rStyle w:val="Hyperlink"/>
              </w:rPr>
              <w:t>4.2</w:t>
            </w:r>
            <w:r w:rsidR="003348D2">
              <w:rPr>
                <w:rFonts w:asciiTheme="minorHAnsi" w:eastAsiaTheme="minorEastAsia" w:hAnsiTheme="minorHAnsi"/>
                <w:color w:val="auto"/>
                <w:sz w:val="22"/>
                <w:lang w:eastAsia="en-AU"/>
              </w:rPr>
              <w:tab/>
            </w:r>
            <w:r w:rsidR="003348D2" w:rsidRPr="0086653E">
              <w:rPr>
                <w:rStyle w:val="Hyperlink"/>
              </w:rPr>
              <w:t>Imports</w:t>
            </w:r>
            <w:r w:rsidR="003348D2">
              <w:rPr>
                <w:webHidden/>
              </w:rPr>
              <w:tab/>
            </w:r>
            <w:r w:rsidR="003348D2">
              <w:rPr>
                <w:webHidden/>
              </w:rPr>
              <w:fldChar w:fldCharType="begin"/>
            </w:r>
            <w:r w:rsidR="003348D2">
              <w:rPr>
                <w:webHidden/>
              </w:rPr>
              <w:instrText xml:space="preserve"> PAGEREF _Toc522633196 \h </w:instrText>
            </w:r>
            <w:r w:rsidR="003348D2">
              <w:rPr>
                <w:webHidden/>
              </w:rPr>
            </w:r>
            <w:r w:rsidR="003348D2">
              <w:rPr>
                <w:webHidden/>
              </w:rPr>
              <w:fldChar w:fldCharType="separate"/>
            </w:r>
            <w:r w:rsidR="00F97945">
              <w:rPr>
                <w:webHidden/>
              </w:rPr>
              <w:t>29</w:t>
            </w:r>
            <w:r w:rsidR="003348D2">
              <w:rPr>
                <w:webHidden/>
              </w:rPr>
              <w:fldChar w:fldCharType="end"/>
            </w:r>
          </w:hyperlink>
        </w:p>
        <w:p w14:paraId="6188E1EA" w14:textId="77777777" w:rsidR="003348D2" w:rsidRDefault="00C06D15">
          <w:pPr>
            <w:pStyle w:val="TOC1"/>
            <w:rPr>
              <w:rFonts w:asciiTheme="minorHAnsi" w:eastAsiaTheme="minorEastAsia" w:hAnsiTheme="minorHAnsi"/>
              <w:b w:val="0"/>
              <w:color w:val="auto"/>
              <w:sz w:val="22"/>
              <w:szCs w:val="22"/>
              <w:lang w:eastAsia="en-AU"/>
            </w:rPr>
          </w:pPr>
          <w:hyperlink w:anchor="_Toc522633197" w:history="1">
            <w:r w:rsidR="003348D2" w:rsidRPr="0086653E">
              <w:rPr>
                <w:rStyle w:val="Hyperlink"/>
              </w:rPr>
              <w:t>5.</w:t>
            </w:r>
            <w:r w:rsidR="003348D2">
              <w:rPr>
                <w:rFonts w:asciiTheme="minorHAnsi" w:eastAsiaTheme="minorEastAsia" w:hAnsiTheme="minorHAnsi"/>
                <w:b w:val="0"/>
                <w:color w:val="auto"/>
                <w:sz w:val="22"/>
                <w:szCs w:val="22"/>
                <w:lang w:eastAsia="en-AU"/>
              </w:rPr>
              <w:tab/>
            </w:r>
            <w:r w:rsidR="003348D2" w:rsidRPr="0086653E">
              <w:rPr>
                <w:rStyle w:val="Hyperlink"/>
              </w:rPr>
              <w:t>References</w:t>
            </w:r>
            <w:r w:rsidR="003348D2">
              <w:rPr>
                <w:webHidden/>
              </w:rPr>
              <w:tab/>
            </w:r>
            <w:r w:rsidR="003348D2">
              <w:rPr>
                <w:webHidden/>
              </w:rPr>
              <w:fldChar w:fldCharType="begin"/>
            </w:r>
            <w:r w:rsidR="003348D2">
              <w:rPr>
                <w:webHidden/>
              </w:rPr>
              <w:instrText xml:space="preserve"> PAGEREF _Toc522633197 \h </w:instrText>
            </w:r>
            <w:r w:rsidR="003348D2">
              <w:rPr>
                <w:webHidden/>
              </w:rPr>
            </w:r>
            <w:r w:rsidR="003348D2">
              <w:rPr>
                <w:webHidden/>
              </w:rPr>
              <w:fldChar w:fldCharType="separate"/>
            </w:r>
            <w:r w:rsidR="00F97945">
              <w:rPr>
                <w:webHidden/>
              </w:rPr>
              <w:t>32</w:t>
            </w:r>
            <w:r w:rsidR="003348D2">
              <w:rPr>
                <w:webHidden/>
              </w:rPr>
              <w:fldChar w:fldCharType="end"/>
            </w:r>
          </w:hyperlink>
        </w:p>
        <w:p w14:paraId="6DD8450C" w14:textId="157FF385" w:rsidR="00243AF9" w:rsidRDefault="00243AF9" w:rsidP="00082FE6">
          <w:pPr>
            <w:tabs>
              <w:tab w:val="left" w:pos="1560"/>
            </w:tabs>
            <w:ind w:left="993" w:right="373" w:hanging="709"/>
          </w:pPr>
          <w:r>
            <w:rPr>
              <w:b/>
              <w:bCs/>
              <w:noProof/>
            </w:rPr>
            <w:fldChar w:fldCharType="end"/>
          </w:r>
        </w:p>
      </w:sdtContent>
    </w:sdt>
    <w:p w14:paraId="41052DBD" w14:textId="14A280AE" w:rsidR="00243AF9" w:rsidRDefault="00243AF9">
      <w:pPr>
        <w:spacing w:after="200" w:line="276" w:lineRule="auto"/>
        <w:ind w:left="0"/>
        <w:jc w:val="left"/>
        <w:rPr>
          <w:rFonts w:asciiTheme="minorHAnsi" w:hAnsiTheme="minorHAnsi"/>
          <w:lang w:val="en-GB"/>
        </w:rPr>
      </w:pPr>
      <w:r>
        <w:rPr>
          <w:lang w:val="en-GB"/>
        </w:rPr>
        <w:br w:type="page"/>
      </w:r>
    </w:p>
    <w:p w14:paraId="3B50B494" w14:textId="6BFE9C6A" w:rsidR="00243AF9" w:rsidRPr="001F1F3C" w:rsidRDefault="00243AF9" w:rsidP="00C14173">
      <w:pPr>
        <w:pStyle w:val="UnnumberedHeading"/>
        <w:ind w:left="-284"/>
        <w:rPr>
          <w:lang w:val="en-GB"/>
        </w:rPr>
      </w:pPr>
      <w:r>
        <w:lastRenderedPageBreak/>
        <w:t>Figures</w:t>
      </w:r>
    </w:p>
    <w:p w14:paraId="3C82AFA0" w14:textId="77777777" w:rsidR="00F97945" w:rsidRPr="00F97945" w:rsidRDefault="00243AF9" w:rsidP="00F97945">
      <w:pPr>
        <w:pStyle w:val="TableofFigures"/>
        <w:ind w:left="426"/>
        <w:rPr>
          <w:rStyle w:val="Hyperlink"/>
        </w:rPr>
      </w:pPr>
      <w:r w:rsidRPr="003501FB">
        <w:rPr>
          <w:b w:val="0"/>
          <w:lang w:val="en-GB"/>
        </w:rPr>
        <w:fldChar w:fldCharType="begin"/>
      </w:r>
      <w:r w:rsidRPr="003501FB">
        <w:rPr>
          <w:b w:val="0"/>
          <w:lang w:val="en-GB"/>
        </w:rPr>
        <w:instrText xml:space="preserve"> TOC \h \z \c "Figure" </w:instrText>
      </w:r>
      <w:r w:rsidRPr="003501FB">
        <w:rPr>
          <w:b w:val="0"/>
          <w:lang w:val="en-GB"/>
        </w:rPr>
        <w:fldChar w:fldCharType="separate"/>
      </w:r>
      <w:hyperlink w:anchor="_Toc523777416" w:history="1">
        <w:r w:rsidR="00F97945" w:rsidRPr="00F97945">
          <w:rPr>
            <w:rStyle w:val="Hyperlink"/>
            <w:b w:val="0"/>
          </w:rPr>
          <w:t>Figure 2.1: Australian energy intensity and energy productivity</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_Toc523777416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6</w:t>
        </w:r>
        <w:r w:rsidR="00F97945" w:rsidRPr="00F97945">
          <w:rPr>
            <w:rStyle w:val="Hyperlink"/>
            <w:b w:val="0"/>
            <w:webHidden/>
          </w:rPr>
          <w:fldChar w:fldCharType="end"/>
        </w:r>
      </w:hyperlink>
    </w:p>
    <w:p w14:paraId="7C98525C" w14:textId="77777777" w:rsidR="00F97945" w:rsidRPr="00F97945" w:rsidRDefault="00C06D15" w:rsidP="00F97945">
      <w:pPr>
        <w:pStyle w:val="TableofFigures"/>
        <w:ind w:left="426"/>
        <w:rPr>
          <w:rStyle w:val="Hyperlink"/>
        </w:rPr>
      </w:pPr>
      <w:hyperlink w:anchor="_Toc523777417" w:history="1">
        <w:r w:rsidR="00F97945" w:rsidRPr="00F97945">
          <w:rPr>
            <w:rStyle w:val="Hyperlink"/>
            <w:b w:val="0"/>
          </w:rPr>
          <w:t>Figure 2.2: Australian energy consumption, by fuel type</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_Toc523777417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8</w:t>
        </w:r>
        <w:r w:rsidR="00F97945" w:rsidRPr="00F97945">
          <w:rPr>
            <w:rStyle w:val="Hyperlink"/>
            <w:b w:val="0"/>
            <w:webHidden/>
          </w:rPr>
          <w:fldChar w:fldCharType="end"/>
        </w:r>
      </w:hyperlink>
    </w:p>
    <w:p w14:paraId="7A9C7DF7" w14:textId="77777777" w:rsidR="00F97945" w:rsidRPr="00F97945" w:rsidRDefault="00C06D15" w:rsidP="00F97945">
      <w:pPr>
        <w:pStyle w:val="TableofFigures"/>
        <w:ind w:left="426"/>
        <w:rPr>
          <w:rStyle w:val="Hyperlink"/>
        </w:rPr>
      </w:pPr>
      <w:hyperlink w:anchor="_Toc523777418" w:history="1">
        <w:r w:rsidR="00F97945" w:rsidRPr="00F97945">
          <w:rPr>
            <w:rStyle w:val="Hyperlink"/>
            <w:b w:val="0"/>
          </w:rPr>
          <w:t>Figure 2.3: Australian natural gas flows, petajoules, 2016–17</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_Toc523777418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9</w:t>
        </w:r>
        <w:r w:rsidR="00F97945" w:rsidRPr="00F97945">
          <w:rPr>
            <w:rStyle w:val="Hyperlink"/>
            <w:b w:val="0"/>
            <w:webHidden/>
          </w:rPr>
          <w:fldChar w:fldCharType="end"/>
        </w:r>
      </w:hyperlink>
    </w:p>
    <w:p w14:paraId="60997852" w14:textId="77777777" w:rsidR="00F97945" w:rsidRPr="00F97945" w:rsidRDefault="00C06D15" w:rsidP="00F97945">
      <w:pPr>
        <w:pStyle w:val="TableofFigures"/>
        <w:ind w:left="426"/>
        <w:rPr>
          <w:rStyle w:val="Hyperlink"/>
        </w:rPr>
      </w:pPr>
      <w:hyperlink w:anchor="_Toc523777419" w:history="1">
        <w:r w:rsidR="00F97945" w:rsidRPr="00F97945">
          <w:rPr>
            <w:rStyle w:val="Hyperlink"/>
            <w:b w:val="0"/>
          </w:rPr>
          <w:t>Figure 2.4: Australian energy consumption, by sector</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_Toc523777419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11</w:t>
        </w:r>
        <w:r w:rsidR="00F97945" w:rsidRPr="00F97945">
          <w:rPr>
            <w:rStyle w:val="Hyperlink"/>
            <w:b w:val="0"/>
            <w:webHidden/>
          </w:rPr>
          <w:fldChar w:fldCharType="end"/>
        </w:r>
      </w:hyperlink>
    </w:p>
    <w:p w14:paraId="7AA9CAE9" w14:textId="77777777" w:rsidR="00F97945" w:rsidRPr="00F97945" w:rsidRDefault="00C06D15" w:rsidP="00F97945">
      <w:pPr>
        <w:pStyle w:val="TableofFigures"/>
        <w:ind w:left="426"/>
        <w:rPr>
          <w:rStyle w:val="Hyperlink"/>
        </w:rPr>
      </w:pPr>
      <w:hyperlink w:anchor="_Toc523777420" w:history="1">
        <w:r w:rsidR="00F97945" w:rsidRPr="00F97945">
          <w:rPr>
            <w:rStyle w:val="Hyperlink"/>
            <w:b w:val="0"/>
          </w:rPr>
          <w:t>Figure 2.5: Australian transport energy consumption, by major fuel type</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_Toc523777420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12</w:t>
        </w:r>
        <w:r w:rsidR="00F97945" w:rsidRPr="00F97945">
          <w:rPr>
            <w:rStyle w:val="Hyperlink"/>
            <w:b w:val="0"/>
            <w:webHidden/>
          </w:rPr>
          <w:fldChar w:fldCharType="end"/>
        </w:r>
      </w:hyperlink>
    </w:p>
    <w:p w14:paraId="5EDA46C7" w14:textId="77777777" w:rsidR="00F97945" w:rsidRPr="00F97945" w:rsidRDefault="00C06D15" w:rsidP="00F97945">
      <w:pPr>
        <w:pStyle w:val="TableofFigures"/>
        <w:ind w:left="426"/>
        <w:rPr>
          <w:rStyle w:val="Hyperlink"/>
        </w:rPr>
      </w:pPr>
      <w:hyperlink w:anchor="_Toc523777421" w:history="1">
        <w:r w:rsidR="00F97945" w:rsidRPr="00F97945">
          <w:rPr>
            <w:rStyle w:val="Hyperlink"/>
            <w:b w:val="0"/>
          </w:rPr>
          <w:t>Figure 2.6: Australian energy consumption in mining</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_Toc523777421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14</w:t>
        </w:r>
        <w:r w:rsidR="00F97945" w:rsidRPr="00F97945">
          <w:rPr>
            <w:rStyle w:val="Hyperlink"/>
            <w:b w:val="0"/>
            <w:webHidden/>
          </w:rPr>
          <w:fldChar w:fldCharType="end"/>
        </w:r>
      </w:hyperlink>
    </w:p>
    <w:p w14:paraId="76DA1D20" w14:textId="40152A88" w:rsidR="00F97945" w:rsidRPr="00F97945" w:rsidRDefault="00C06D15" w:rsidP="00F97945">
      <w:pPr>
        <w:pStyle w:val="TableofFigures"/>
        <w:ind w:left="426"/>
        <w:rPr>
          <w:rStyle w:val="Hyperlink"/>
        </w:rPr>
      </w:pPr>
      <w:hyperlink w:anchor="_Toc523777422" w:history="1">
        <w:r w:rsidR="00E60A5C">
          <w:rPr>
            <w:rStyle w:val="Hyperlink"/>
            <w:b w:val="0"/>
          </w:rPr>
          <w:t>Figure 2.7: Quarterly h</w:t>
        </w:r>
        <w:r w:rsidR="00F97945" w:rsidRPr="00F97945">
          <w:rPr>
            <w:rStyle w:val="Hyperlink"/>
            <w:b w:val="0"/>
          </w:rPr>
          <w:t>ousehold energy price index</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_Toc523777422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15</w:t>
        </w:r>
        <w:r w:rsidR="00F97945" w:rsidRPr="00F97945">
          <w:rPr>
            <w:rStyle w:val="Hyperlink"/>
            <w:b w:val="0"/>
            <w:webHidden/>
          </w:rPr>
          <w:fldChar w:fldCharType="end"/>
        </w:r>
      </w:hyperlink>
    </w:p>
    <w:p w14:paraId="289C56DA" w14:textId="77777777" w:rsidR="00F97945" w:rsidRPr="00F97945" w:rsidRDefault="00C06D15" w:rsidP="00F97945">
      <w:pPr>
        <w:pStyle w:val="TableofFigures"/>
        <w:ind w:left="426"/>
        <w:rPr>
          <w:rStyle w:val="Hyperlink"/>
        </w:rPr>
      </w:pPr>
      <w:hyperlink w:anchor="_Toc523777423" w:history="1">
        <w:r w:rsidR="00F97945" w:rsidRPr="00F97945">
          <w:rPr>
            <w:rStyle w:val="Hyperlink"/>
            <w:b w:val="0"/>
          </w:rPr>
          <w:t>Figure 2.8: Australian energy mix, by state and territory, 2016–17</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_Toc523777423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17</w:t>
        </w:r>
        <w:r w:rsidR="00F97945" w:rsidRPr="00F97945">
          <w:rPr>
            <w:rStyle w:val="Hyperlink"/>
            <w:b w:val="0"/>
            <w:webHidden/>
          </w:rPr>
          <w:fldChar w:fldCharType="end"/>
        </w:r>
      </w:hyperlink>
    </w:p>
    <w:p w14:paraId="10BCB759" w14:textId="77777777" w:rsidR="00F97945" w:rsidRPr="00F97945" w:rsidRDefault="00C06D15" w:rsidP="00F97945">
      <w:pPr>
        <w:pStyle w:val="TableofFigures"/>
        <w:ind w:left="426"/>
        <w:rPr>
          <w:rStyle w:val="Hyperlink"/>
        </w:rPr>
      </w:pPr>
      <w:hyperlink w:anchor="_Toc523777424" w:history="1">
        <w:r w:rsidR="00F97945" w:rsidRPr="00F97945">
          <w:rPr>
            <w:rStyle w:val="Hyperlink"/>
            <w:b w:val="0"/>
          </w:rPr>
          <w:t>Figure 3.1: Australian energy production, by fuel type</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_Toc523777424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19</w:t>
        </w:r>
        <w:r w:rsidR="00F97945" w:rsidRPr="00F97945">
          <w:rPr>
            <w:rStyle w:val="Hyperlink"/>
            <w:b w:val="0"/>
            <w:webHidden/>
          </w:rPr>
          <w:fldChar w:fldCharType="end"/>
        </w:r>
      </w:hyperlink>
    </w:p>
    <w:p w14:paraId="32D2961E" w14:textId="77777777" w:rsidR="00F97945" w:rsidRPr="00F97945" w:rsidRDefault="00C06D15" w:rsidP="00F97945">
      <w:pPr>
        <w:pStyle w:val="TableofFigures"/>
        <w:ind w:left="426"/>
        <w:rPr>
          <w:rStyle w:val="Hyperlink"/>
        </w:rPr>
      </w:pPr>
      <w:hyperlink w:anchor="_Toc523777425" w:history="1">
        <w:r w:rsidR="00F97945" w:rsidRPr="00F97945">
          <w:rPr>
            <w:rStyle w:val="Hyperlink"/>
            <w:b w:val="0"/>
          </w:rPr>
          <w:t>Figure 3.2: Australian energy balance</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_Toc523777425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19</w:t>
        </w:r>
        <w:r w:rsidR="00F97945" w:rsidRPr="00F97945">
          <w:rPr>
            <w:rStyle w:val="Hyperlink"/>
            <w:b w:val="0"/>
            <w:webHidden/>
          </w:rPr>
          <w:fldChar w:fldCharType="end"/>
        </w:r>
      </w:hyperlink>
    </w:p>
    <w:p w14:paraId="53D5CCFF" w14:textId="77777777" w:rsidR="00F97945" w:rsidRPr="00F97945" w:rsidRDefault="00C06D15" w:rsidP="00F97945">
      <w:pPr>
        <w:pStyle w:val="TableofFigures"/>
        <w:ind w:left="426"/>
        <w:rPr>
          <w:rStyle w:val="Hyperlink"/>
        </w:rPr>
      </w:pPr>
      <w:hyperlink w:anchor="_Toc523777426" w:history="1">
        <w:r w:rsidR="00F97945" w:rsidRPr="00F97945">
          <w:rPr>
            <w:rStyle w:val="Hyperlink"/>
            <w:b w:val="0"/>
          </w:rPr>
          <w:t>Figure 3.3: Australian electricity generation</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_Toc523777426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21</w:t>
        </w:r>
        <w:r w:rsidR="00F97945" w:rsidRPr="00F97945">
          <w:rPr>
            <w:rStyle w:val="Hyperlink"/>
            <w:b w:val="0"/>
            <w:webHidden/>
          </w:rPr>
          <w:fldChar w:fldCharType="end"/>
        </w:r>
      </w:hyperlink>
    </w:p>
    <w:p w14:paraId="4C263325" w14:textId="77777777" w:rsidR="00F97945" w:rsidRPr="00F97945" w:rsidRDefault="00C06D15" w:rsidP="00F97945">
      <w:pPr>
        <w:pStyle w:val="TableofFigures"/>
        <w:ind w:left="426"/>
        <w:rPr>
          <w:rStyle w:val="Hyperlink"/>
        </w:rPr>
      </w:pPr>
      <w:hyperlink w:anchor="_Toc523777427" w:history="1">
        <w:r w:rsidR="00F97945" w:rsidRPr="00F97945">
          <w:rPr>
            <w:rStyle w:val="Hyperlink"/>
            <w:b w:val="0"/>
          </w:rPr>
          <w:t>Figure 3.4: Australian electricity generation, by industry, 2016–17</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_Toc523777427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21</w:t>
        </w:r>
        <w:r w:rsidR="00F97945" w:rsidRPr="00F97945">
          <w:rPr>
            <w:rStyle w:val="Hyperlink"/>
            <w:b w:val="0"/>
            <w:webHidden/>
          </w:rPr>
          <w:fldChar w:fldCharType="end"/>
        </w:r>
      </w:hyperlink>
    </w:p>
    <w:p w14:paraId="7084EA7B" w14:textId="77777777" w:rsidR="00F97945" w:rsidRPr="00F97945" w:rsidRDefault="00C06D15" w:rsidP="00F97945">
      <w:pPr>
        <w:pStyle w:val="TableofFigures"/>
        <w:ind w:left="426"/>
        <w:rPr>
          <w:rStyle w:val="Hyperlink"/>
        </w:rPr>
      </w:pPr>
      <w:hyperlink w:anchor="_Toc523777428" w:history="1">
        <w:r w:rsidR="00F97945" w:rsidRPr="00F97945">
          <w:rPr>
            <w:rStyle w:val="Hyperlink"/>
            <w:b w:val="0"/>
          </w:rPr>
          <w:t>Figure 3.5: Australian electricity generation fuel mix</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_Toc523777428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22</w:t>
        </w:r>
        <w:r w:rsidR="00F97945" w:rsidRPr="00F97945">
          <w:rPr>
            <w:rStyle w:val="Hyperlink"/>
            <w:b w:val="0"/>
            <w:webHidden/>
          </w:rPr>
          <w:fldChar w:fldCharType="end"/>
        </w:r>
      </w:hyperlink>
    </w:p>
    <w:p w14:paraId="36245AEF" w14:textId="77777777" w:rsidR="00F97945" w:rsidRPr="00F97945" w:rsidRDefault="00C06D15" w:rsidP="00F97945">
      <w:pPr>
        <w:pStyle w:val="TableofFigures"/>
        <w:ind w:left="426"/>
        <w:rPr>
          <w:rStyle w:val="Hyperlink"/>
        </w:rPr>
      </w:pPr>
      <w:hyperlink w:anchor="_Toc523777429" w:history="1">
        <w:r w:rsidR="00F97945" w:rsidRPr="00F97945">
          <w:rPr>
            <w:rStyle w:val="Hyperlink"/>
            <w:b w:val="0"/>
          </w:rPr>
          <w:t>Figure 3.6: Australian electricity generation from renewable sources</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_Toc523777429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24</w:t>
        </w:r>
        <w:r w:rsidR="00F97945" w:rsidRPr="00F97945">
          <w:rPr>
            <w:rStyle w:val="Hyperlink"/>
            <w:b w:val="0"/>
            <w:webHidden/>
          </w:rPr>
          <w:fldChar w:fldCharType="end"/>
        </w:r>
      </w:hyperlink>
    </w:p>
    <w:p w14:paraId="2BC14C2E" w14:textId="77777777" w:rsidR="00F97945" w:rsidRPr="00F97945" w:rsidRDefault="00C06D15" w:rsidP="00F97945">
      <w:pPr>
        <w:pStyle w:val="TableofFigures"/>
        <w:ind w:left="426"/>
        <w:rPr>
          <w:rStyle w:val="Hyperlink"/>
        </w:rPr>
      </w:pPr>
      <w:hyperlink w:anchor="_Toc523777430" w:history="1">
        <w:r w:rsidR="00F97945" w:rsidRPr="00F97945">
          <w:rPr>
            <w:rStyle w:val="Hyperlink"/>
            <w:b w:val="0"/>
          </w:rPr>
          <w:t>Figure 3.7: Australian electricity generation fuel mix, calendar year 2017</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_Toc523777430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26</w:t>
        </w:r>
        <w:r w:rsidR="00F97945" w:rsidRPr="00F97945">
          <w:rPr>
            <w:rStyle w:val="Hyperlink"/>
            <w:b w:val="0"/>
            <w:webHidden/>
          </w:rPr>
          <w:fldChar w:fldCharType="end"/>
        </w:r>
      </w:hyperlink>
    </w:p>
    <w:p w14:paraId="319453E2" w14:textId="77777777" w:rsidR="00F97945" w:rsidRPr="00F97945" w:rsidRDefault="00C06D15" w:rsidP="00F97945">
      <w:pPr>
        <w:pStyle w:val="TableofFigures"/>
        <w:ind w:left="426"/>
        <w:rPr>
          <w:rStyle w:val="Hyperlink"/>
        </w:rPr>
      </w:pPr>
      <w:hyperlink w:anchor="_Toc523777431" w:history="1">
        <w:r w:rsidR="00F97945" w:rsidRPr="00F97945">
          <w:rPr>
            <w:rStyle w:val="Hyperlink"/>
            <w:b w:val="0"/>
          </w:rPr>
          <w:t>Figure 4.1: Australian energy exports, by fuel type</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_Toc523777431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27</w:t>
        </w:r>
        <w:r w:rsidR="00F97945" w:rsidRPr="00F97945">
          <w:rPr>
            <w:rStyle w:val="Hyperlink"/>
            <w:b w:val="0"/>
            <w:webHidden/>
          </w:rPr>
          <w:fldChar w:fldCharType="end"/>
        </w:r>
      </w:hyperlink>
    </w:p>
    <w:p w14:paraId="2262D068" w14:textId="77777777" w:rsidR="00F97945" w:rsidRPr="00F97945" w:rsidRDefault="00C06D15" w:rsidP="00F97945">
      <w:pPr>
        <w:pStyle w:val="TableofFigures"/>
        <w:ind w:left="426"/>
        <w:rPr>
          <w:rStyle w:val="Hyperlink"/>
        </w:rPr>
      </w:pPr>
      <w:hyperlink w:anchor="_Toc523777432" w:history="1">
        <w:r w:rsidR="00F97945" w:rsidRPr="00F97945">
          <w:rPr>
            <w:rStyle w:val="Hyperlink"/>
            <w:b w:val="0"/>
          </w:rPr>
          <w:t>Figure 4.2: Australian energy trade, 2016–17</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_Toc523777432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28</w:t>
        </w:r>
        <w:r w:rsidR="00F97945" w:rsidRPr="00F97945">
          <w:rPr>
            <w:rStyle w:val="Hyperlink"/>
            <w:b w:val="0"/>
            <w:webHidden/>
          </w:rPr>
          <w:fldChar w:fldCharType="end"/>
        </w:r>
      </w:hyperlink>
    </w:p>
    <w:p w14:paraId="43E1EE50" w14:textId="77777777" w:rsidR="00F97945" w:rsidRPr="00F97945" w:rsidRDefault="00C06D15" w:rsidP="00F97945">
      <w:pPr>
        <w:pStyle w:val="TableofFigures"/>
        <w:ind w:left="426"/>
        <w:rPr>
          <w:rStyle w:val="Hyperlink"/>
        </w:rPr>
      </w:pPr>
      <w:hyperlink w:anchor="_Toc523777433" w:history="1">
        <w:r w:rsidR="00F97945" w:rsidRPr="00F97945">
          <w:rPr>
            <w:rStyle w:val="Hyperlink"/>
            <w:b w:val="0"/>
          </w:rPr>
          <w:t>Figure 4.3: Australian uranium exports</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_Toc523777433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29</w:t>
        </w:r>
        <w:r w:rsidR="00F97945" w:rsidRPr="00F97945">
          <w:rPr>
            <w:rStyle w:val="Hyperlink"/>
            <w:b w:val="0"/>
            <w:webHidden/>
          </w:rPr>
          <w:fldChar w:fldCharType="end"/>
        </w:r>
      </w:hyperlink>
    </w:p>
    <w:p w14:paraId="4D80464F" w14:textId="77777777" w:rsidR="00F97945" w:rsidRPr="00F97945" w:rsidRDefault="00C06D15" w:rsidP="00F97945">
      <w:pPr>
        <w:pStyle w:val="TableofFigures"/>
        <w:ind w:left="426"/>
        <w:rPr>
          <w:rStyle w:val="Hyperlink"/>
        </w:rPr>
      </w:pPr>
      <w:hyperlink w:anchor="_Toc523777434" w:history="1">
        <w:r w:rsidR="00F97945" w:rsidRPr="00F97945">
          <w:rPr>
            <w:rStyle w:val="Hyperlink"/>
            <w:b w:val="0"/>
          </w:rPr>
          <w:t>Figure 4.4: Australian energy imports, by fuel type</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_Toc523777434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30</w:t>
        </w:r>
        <w:r w:rsidR="00F97945" w:rsidRPr="00F97945">
          <w:rPr>
            <w:rStyle w:val="Hyperlink"/>
            <w:b w:val="0"/>
            <w:webHidden/>
          </w:rPr>
          <w:fldChar w:fldCharType="end"/>
        </w:r>
      </w:hyperlink>
    </w:p>
    <w:p w14:paraId="4D1616F8" w14:textId="77777777" w:rsidR="00F97945" w:rsidRPr="00F97945" w:rsidRDefault="00C06D15" w:rsidP="00F97945">
      <w:pPr>
        <w:pStyle w:val="TableofFigures"/>
        <w:ind w:left="426"/>
        <w:rPr>
          <w:rStyle w:val="Hyperlink"/>
        </w:rPr>
      </w:pPr>
      <w:hyperlink w:anchor="_Toc523777435" w:history="1">
        <w:r w:rsidR="00F97945" w:rsidRPr="00F97945">
          <w:rPr>
            <w:rStyle w:val="Hyperlink"/>
            <w:b w:val="0"/>
          </w:rPr>
          <w:t>Figure 4.5: Share of imports in total consumption of crude and refined products</w:t>
        </w:r>
        <w:r w:rsidR="00F97945" w:rsidRPr="00F97945">
          <w:rPr>
            <w:rStyle w:val="Hyperlink"/>
            <w:b w:val="0"/>
            <w:webHidden/>
          </w:rPr>
          <w:tab/>
        </w:r>
        <w:r w:rsidR="00F97945" w:rsidRPr="00F97945">
          <w:rPr>
            <w:rStyle w:val="Hyperlink"/>
            <w:b w:val="0"/>
            <w:webHidden/>
          </w:rPr>
          <w:fldChar w:fldCharType="begin"/>
        </w:r>
        <w:r w:rsidR="00F97945" w:rsidRPr="00F97945">
          <w:rPr>
            <w:rStyle w:val="Hyperlink"/>
            <w:b w:val="0"/>
            <w:webHidden/>
          </w:rPr>
          <w:instrText xml:space="preserve"> PAGEREF _Toc523777435 \h </w:instrText>
        </w:r>
        <w:r w:rsidR="00F97945" w:rsidRPr="00F97945">
          <w:rPr>
            <w:rStyle w:val="Hyperlink"/>
            <w:b w:val="0"/>
            <w:webHidden/>
          </w:rPr>
        </w:r>
        <w:r w:rsidR="00F97945" w:rsidRPr="00F97945">
          <w:rPr>
            <w:rStyle w:val="Hyperlink"/>
            <w:b w:val="0"/>
            <w:webHidden/>
          </w:rPr>
          <w:fldChar w:fldCharType="separate"/>
        </w:r>
        <w:r w:rsidR="00F97945" w:rsidRPr="00F97945">
          <w:rPr>
            <w:rStyle w:val="Hyperlink"/>
            <w:b w:val="0"/>
            <w:webHidden/>
          </w:rPr>
          <w:t>31</w:t>
        </w:r>
        <w:r w:rsidR="00F97945" w:rsidRPr="00F97945">
          <w:rPr>
            <w:rStyle w:val="Hyperlink"/>
            <w:b w:val="0"/>
            <w:webHidden/>
          </w:rPr>
          <w:fldChar w:fldCharType="end"/>
        </w:r>
      </w:hyperlink>
    </w:p>
    <w:p w14:paraId="3B6DCA64" w14:textId="77777777" w:rsidR="00B91FAC" w:rsidRDefault="00243AF9" w:rsidP="00C14173">
      <w:pPr>
        <w:pStyle w:val="UnnumberedHeading"/>
        <w:ind w:left="-284"/>
        <w:rPr>
          <w:b w:val="0"/>
          <w:lang w:val="en-GB"/>
        </w:rPr>
      </w:pPr>
      <w:r w:rsidRPr="003501FB">
        <w:rPr>
          <w:b w:val="0"/>
          <w:lang w:val="en-GB"/>
        </w:rPr>
        <w:fldChar w:fldCharType="end"/>
      </w:r>
    </w:p>
    <w:p w14:paraId="21C37DEE" w14:textId="7DFA2BCD" w:rsidR="00243AF9" w:rsidRPr="001F1F3C" w:rsidRDefault="00243AF9" w:rsidP="00C14173">
      <w:pPr>
        <w:pStyle w:val="UnnumberedHeading"/>
        <w:ind w:left="-284"/>
        <w:rPr>
          <w:lang w:val="en-GB"/>
        </w:rPr>
      </w:pPr>
      <w:r>
        <w:t>Tables</w:t>
      </w:r>
    </w:p>
    <w:p w14:paraId="6D9393D0" w14:textId="77777777" w:rsidR="003501FB" w:rsidRPr="003501FB" w:rsidRDefault="00243AF9" w:rsidP="00C14173">
      <w:pPr>
        <w:pStyle w:val="TableofFigures"/>
        <w:ind w:left="426"/>
        <w:rPr>
          <w:rFonts w:eastAsiaTheme="minorEastAsia"/>
          <w:b w:val="0"/>
          <w:bCs w:val="0"/>
          <w:color w:val="auto"/>
          <w:sz w:val="22"/>
          <w:lang w:val="en-AU" w:eastAsia="en-AU"/>
        </w:rPr>
      </w:pPr>
      <w:r w:rsidRPr="003501FB">
        <w:rPr>
          <w:b w:val="0"/>
          <w:lang w:val="en-GB"/>
        </w:rPr>
        <w:fldChar w:fldCharType="begin"/>
      </w:r>
      <w:r w:rsidRPr="003501FB">
        <w:rPr>
          <w:b w:val="0"/>
          <w:lang w:val="en-GB"/>
        </w:rPr>
        <w:instrText xml:space="preserve"> TOC \h \z \c "Table" </w:instrText>
      </w:r>
      <w:r w:rsidRPr="003501FB">
        <w:rPr>
          <w:b w:val="0"/>
          <w:lang w:val="en-GB"/>
        </w:rPr>
        <w:fldChar w:fldCharType="separate"/>
      </w:r>
      <w:hyperlink w:anchor="_Toc522635712" w:history="1">
        <w:r w:rsidR="003501FB" w:rsidRPr="003501FB">
          <w:rPr>
            <w:rStyle w:val="Hyperlink"/>
            <w:b w:val="0"/>
          </w:rPr>
          <w:t xml:space="preserve">Table 1.1: 2018 </w:t>
        </w:r>
        <w:r w:rsidR="003501FB" w:rsidRPr="003501FB">
          <w:rPr>
            <w:rStyle w:val="Hyperlink"/>
            <w:b w:val="0"/>
            <w:i/>
          </w:rPr>
          <w:t>Australian Energy Statistics</w:t>
        </w:r>
        <w:r w:rsidR="003501FB" w:rsidRPr="003501FB">
          <w:rPr>
            <w:rStyle w:val="Hyperlink"/>
            <w:b w:val="0"/>
          </w:rPr>
          <w:t xml:space="preserve"> tables</w:t>
        </w:r>
        <w:r w:rsidR="003501FB" w:rsidRPr="003501FB">
          <w:rPr>
            <w:b w:val="0"/>
            <w:webHidden/>
          </w:rPr>
          <w:tab/>
        </w:r>
        <w:r w:rsidR="003501FB" w:rsidRPr="003501FB">
          <w:rPr>
            <w:b w:val="0"/>
            <w:webHidden/>
          </w:rPr>
          <w:fldChar w:fldCharType="begin"/>
        </w:r>
        <w:r w:rsidR="003501FB" w:rsidRPr="003501FB">
          <w:rPr>
            <w:b w:val="0"/>
            <w:webHidden/>
          </w:rPr>
          <w:instrText xml:space="preserve"> PAGEREF _Toc522635712 \h </w:instrText>
        </w:r>
        <w:r w:rsidR="003501FB" w:rsidRPr="003501FB">
          <w:rPr>
            <w:b w:val="0"/>
            <w:webHidden/>
          </w:rPr>
        </w:r>
        <w:r w:rsidR="003501FB" w:rsidRPr="003501FB">
          <w:rPr>
            <w:b w:val="0"/>
            <w:webHidden/>
          </w:rPr>
          <w:fldChar w:fldCharType="separate"/>
        </w:r>
        <w:r w:rsidR="00BE7107">
          <w:rPr>
            <w:b w:val="0"/>
            <w:webHidden/>
          </w:rPr>
          <w:t>5</w:t>
        </w:r>
        <w:r w:rsidR="003501FB" w:rsidRPr="003501FB">
          <w:rPr>
            <w:b w:val="0"/>
            <w:webHidden/>
          </w:rPr>
          <w:fldChar w:fldCharType="end"/>
        </w:r>
      </w:hyperlink>
    </w:p>
    <w:p w14:paraId="519A807B" w14:textId="77777777" w:rsidR="003501FB" w:rsidRPr="003501FB" w:rsidRDefault="00C06D15" w:rsidP="00C14173">
      <w:pPr>
        <w:pStyle w:val="TableofFigures"/>
        <w:ind w:left="426"/>
        <w:rPr>
          <w:rFonts w:eastAsiaTheme="minorEastAsia"/>
          <w:b w:val="0"/>
          <w:bCs w:val="0"/>
          <w:color w:val="auto"/>
          <w:sz w:val="22"/>
          <w:lang w:val="en-AU" w:eastAsia="en-AU"/>
        </w:rPr>
      </w:pPr>
      <w:hyperlink w:anchor="_Toc522635713" w:history="1">
        <w:r w:rsidR="003501FB" w:rsidRPr="003501FB">
          <w:rPr>
            <w:rStyle w:val="Hyperlink"/>
            <w:b w:val="0"/>
          </w:rPr>
          <w:t>Table 2.1: Australian energy consumption, by fuel type</w:t>
        </w:r>
        <w:r w:rsidR="003501FB" w:rsidRPr="003501FB">
          <w:rPr>
            <w:b w:val="0"/>
            <w:webHidden/>
          </w:rPr>
          <w:tab/>
        </w:r>
        <w:r w:rsidR="003501FB" w:rsidRPr="003501FB">
          <w:rPr>
            <w:b w:val="0"/>
            <w:webHidden/>
          </w:rPr>
          <w:fldChar w:fldCharType="begin"/>
        </w:r>
        <w:r w:rsidR="003501FB" w:rsidRPr="003501FB">
          <w:rPr>
            <w:b w:val="0"/>
            <w:webHidden/>
          </w:rPr>
          <w:instrText xml:space="preserve"> PAGEREF _Toc522635713 \h </w:instrText>
        </w:r>
        <w:r w:rsidR="003501FB" w:rsidRPr="003501FB">
          <w:rPr>
            <w:b w:val="0"/>
            <w:webHidden/>
          </w:rPr>
        </w:r>
        <w:r w:rsidR="003501FB" w:rsidRPr="003501FB">
          <w:rPr>
            <w:b w:val="0"/>
            <w:webHidden/>
          </w:rPr>
          <w:fldChar w:fldCharType="separate"/>
        </w:r>
        <w:r w:rsidR="00BE7107">
          <w:rPr>
            <w:b w:val="0"/>
            <w:webHidden/>
          </w:rPr>
          <w:t>7</w:t>
        </w:r>
        <w:r w:rsidR="003501FB" w:rsidRPr="003501FB">
          <w:rPr>
            <w:b w:val="0"/>
            <w:webHidden/>
          </w:rPr>
          <w:fldChar w:fldCharType="end"/>
        </w:r>
      </w:hyperlink>
    </w:p>
    <w:p w14:paraId="2F3FDA82" w14:textId="77777777" w:rsidR="003501FB" w:rsidRPr="003501FB" w:rsidRDefault="00C06D15" w:rsidP="00C14173">
      <w:pPr>
        <w:pStyle w:val="TableofFigures"/>
        <w:ind w:left="426"/>
        <w:rPr>
          <w:rFonts w:eastAsiaTheme="minorEastAsia"/>
          <w:b w:val="0"/>
          <w:bCs w:val="0"/>
          <w:color w:val="auto"/>
          <w:sz w:val="22"/>
          <w:lang w:val="en-AU" w:eastAsia="en-AU"/>
        </w:rPr>
      </w:pPr>
      <w:hyperlink w:anchor="_Toc522635714" w:history="1">
        <w:r w:rsidR="003501FB" w:rsidRPr="003501FB">
          <w:rPr>
            <w:rStyle w:val="Hyperlink"/>
            <w:b w:val="0"/>
          </w:rPr>
          <w:t>Table 2.2: Australian renewable energy consumption, by fuel type</w:t>
        </w:r>
        <w:r w:rsidR="003501FB" w:rsidRPr="003501FB">
          <w:rPr>
            <w:b w:val="0"/>
            <w:webHidden/>
          </w:rPr>
          <w:tab/>
        </w:r>
        <w:r w:rsidR="003501FB" w:rsidRPr="003501FB">
          <w:rPr>
            <w:b w:val="0"/>
            <w:webHidden/>
          </w:rPr>
          <w:fldChar w:fldCharType="begin"/>
        </w:r>
        <w:r w:rsidR="003501FB" w:rsidRPr="003501FB">
          <w:rPr>
            <w:b w:val="0"/>
            <w:webHidden/>
          </w:rPr>
          <w:instrText xml:space="preserve"> PAGEREF _Toc522635714 \h </w:instrText>
        </w:r>
        <w:r w:rsidR="003501FB" w:rsidRPr="003501FB">
          <w:rPr>
            <w:b w:val="0"/>
            <w:webHidden/>
          </w:rPr>
        </w:r>
        <w:r w:rsidR="003501FB" w:rsidRPr="003501FB">
          <w:rPr>
            <w:b w:val="0"/>
            <w:webHidden/>
          </w:rPr>
          <w:fldChar w:fldCharType="separate"/>
        </w:r>
        <w:r w:rsidR="00BE7107">
          <w:rPr>
            <w:b w:val="0"/>
            <w:webHidden/>
          </w:rPr>
          <w:t>10</w:t>
        </w:r>
        <w:r w:rsidR="003501FB" w:rsidRPr="003501FB">
          <w:rPr>
            <w:b w:val="0"/>
            <w:webHidden/>
          </w:rPr>
          <w:fldChar w:fldCharType="end"/>
        </w:r>
      </w:hyperlink>
    </w:p>
    <w:p w14:paraId="3FAE6F50" w14:textId="77777777" w:rsidR="003501FB" w:rsidRPr="003501FB" w:rsidRDefault="00C06D15" w:rsidP="00C14173">
      <w:pPr>
        <w:pStyle w:val="TableofFigures"/>
        <w:ind w:left="426"/>
        <w:rPr>
          <w:rFonts w:eastAsiaTheme="minorEastAsia"/>
          <w:b w:val="0"/>
          <w:bCs w:val="0"/>
          <w:color w:val="auto"/>
          <w:sz w:val="22"/>
          <w:lang w:val="en-AU" w:eastAsia="en-AU"/>
        </w:rPr>
      </w:pPr>
      <w:hyperlink w:anchor="_Toc522635715" w:history="1">
        <w:r w:rsidR="003501FB" w:rsidRPr="003501FB">
          <w:rPr>
            <w:rStyle w:val="Hyperlink"/>
            <w:b w:val="0"/>
          </w:rPr>
          <w:t>Table 2.3: Australian energy consumption, by industry</w:t>
        </w:r>
        <w:r w:rsidR="003501FB" w:rsidRPr="003501FB">
          <w:rPr>
            <w:b w:val="0"/>
            <w:webHidden/>
          </w:rPr>
          <w:tab/>
        </w:r>
        <w:r w:rsidR="003501FB" w:rsidRPr="003501FB">
          <w:rPr>
            <w:b w:val="0"/>
            <w:webHidden/>
          </w:rPr>
          <w:fldChar w:fldCharType="begin"/>
        </w:r>
        <w:r w:rsidR="003501FB" w:rsidRPr="003501FB">
          <w:rPr>
            <w:b w:val="0"/>
            <w:webHidden/>
          </w:rPr>
          <w:instrText xml:space="preserve"> PAGEREF _Toc522635715 \h </w:instrText>
        </w:r>
        <w:r w:rsidR="003501FB" w:rsidRPr="003501FB">
          <w:rPr>
            <w:b w:val="0"/>
            <w:webHidden/>
          </w:rPr>
        </w:r>
        <w:r w:rsidR="003501FB" w:rsidRPr="003501FB">
          <w:rPr>
            <w:b w:val="0"/>
            <w:webHidden/>
          </w:rPr>
          <w:fldChar w:fldCharType="separate"/>
        </w:r>
        <w:r w:rsidR="00BE7107">
          <w:rPr>
            <w:b w:val="0"/>
            <w:webHidden/>
          </w:rPr>
          <w:t>11</w:t>
        </w:r>
        <w:r w:rsidR="003501FB" w:rsidRPr="003501FB">
          <w:rPr>
            <w:b w:val="0"/>
            <w:webHidden/>
          </w:rPr>
          <w:fldChar w:fldCharType="end"/>
        </w:r>
      </w:hyperlink>
    </w:p>
    <w:p w14:paraId="21F131D9" w14:textId="77777777" w:rsidR="003501FB" w:rsidRPr="003501FB" w:rsidRDefault="00C06D15" w:rsidP="00C14173">
      <w:pPr>
        <w:pStyle w:val="TableofFigures"/>
        <w:ind w:left="426"/>
        <w:rPr>
          <w:rFonts w:eastAsiaTheme="minorEastAsia"/>
          <w:b w:val="0"/>
          <w:bCs w:val="0"/>
          <w:color w:val="auto"/>
          <w:sz w:val="22"/>
          <w:lang w:val="en-AU" w:eastAsia="en-AU"/>
        </w:rPr>
      </w:pPr>
      <w:hyperlink w:anchor="_Toc522635716" w:history="1">
        <w:r w:rsidR="003501FB" w:rsidRPr="003501FB">
          <w:rPr>
            <w:rStyle w:val="Hyperlink"/>
            <w:b w:val="0"/>
          </w:rPr>
          <w:t>Table 2.4: Australian transport energy consumption, by subsector</w:t>
        </w:r>
        <w:r w:rsidR="003501FB" w:rsidRPr="003501FB">
          <w:rPr>
            <w:b w:val="0"/>
            <w:webHidden/>
          </w:rPr>
          <w:tab/>
        </w:r>
        <w:r w:rsidR="003501FB" w:rsidRPr="003501FB">
          <w:rPr>
            <w:b w:val="0"/>
            <w:webHidden/>
          </w:rPr>
          <w:fldChar w:fldCharType="begin"/>
        </w:r>
        <w:r w:rsidR="003501FB" w:rsidRPr="003501FB">
          <w:rPr>
            <w:b w:val="0"/>
            <w:webHidden/>
          </w:rPr>
          <w:instrText xml:space="preserve"> PAGEREF _Toc522635716 \h </w:instrText>
        </w:r>
        <w:r w:rsidR="003501FB" w:rsidRPr="003501FB">
          <w:rPr>
            <w:b w:val="0"/>
            <w:webHidden/>
          </w:rPr>
        </w:r>
        <w:r w:rsidR="003501FB" w:rsidRPr="003501FB">
          <w:rPr>
            <w:b w:val="0"/>
            <w:webHidden/>
          </w:rPr>
          <w:fldChar w:fldCharType="separate"/>
        </w:r>
        <w:r w:rsidR="00BE7107">
          <w:rPr>
            <w:b w:val="0"/>
            <w:webHidden/>
          </w:rPr>
          <w:t>12</w:t>
        </w:r>
        <w:r w:rsidR="003501FB" w:rsidRPr="003501FB">
          <w:rPr>
            <w:b w:val="0"/>
            <w:webHidden/>
          </w:rPr>
          <w:fldChar w:fldCharType="end"/>
        </w:r>
      </w:hyperlink>
    </w:p>
    <w:p w14:paraId="3D1206E2" w14:textId="77777777" w:rsidR="003501FB" w:rsidRPr="003501FB" w:rsidRDefault="00C06D15" w:rsidP="00C14173">
      <w:pPr>
        <w:pStyle w:val="TableofFigures"/>
        <w:ind w:left="426"/>
        <w:rPr>
          <w:rFonts w:eastAsiaTheme="minorEastAsia"/>
          <w:b w:val="0"/>
          <w:bCs w:val="0"/>
          <w:color w:val="auto"/>
          <w:sz w:val="22"/>
          <w:lang w:val="en-AU" w:eastAsia="en-AU"/>
        </w:rPr>
      </w:pPr>
      <w:hyperlink w:anchor="_Toc522635717" w:history="1">
        <w:r w:rsidR="003501FB" w:rsidRPr="003501FB">
          <w:rPr>
            <w:rStyle w:val="Hyperlink"/>
            <w:b w:val="0"/>
          </w:rPr>
          <w:t>Table 2.5: Australian manufacturing energy consumption, by subsector</w:t>
        </w:r>
        <w:r w:rsidR="003501FB" w:rsidRPr="003501FB">
          <w:rPr>
            <w:b w:val="0"/>
            <w:webHidden/>
          </w:rPr>
          <w:tab/>
        </w:r>
        <w:r w:rsidR="003501FB" w:rsidRPr="003501FB">
          <w:rPr>
            <w:b w:val="0"/>
            <w:webHidden/>
          </w:rPr>
          <w:fldChar w:fldCharType="begin"/>
        </w:r>
        <w:r w:rsidR="003501FB" w:rsidRPr="003501FB">
          <w:rPr>
            <w:b w:val="0"/>
            <w:webHidden/>
          </w:rPr>
          <w:instrText xml:space="preserve"> PAGEREF _Toc522635717 \h </w:instrText>
        </w:r>
        <w:r w:rsidR="003501FB" w:rsidRPr="003501FB">
          <w:rPr>
            <w:b w:val="0"/>
            <w:webHidden/>
          </w:rPr>
        </w:r>
        <w:r w:rsidR="003501FB" w:rsidRPr="003501FB">
          <w:rPr>
            <w:b w:val="0"/>
            <w:webHidden/>
          </w:rPr>
          <w:fldChar w:fldCharType="separate"/>
        </w:r>
        <w:r w:rsidR="00BE7107">
          <w:rPr>
            <w:b w:val="0"/>
            <w:webHidden/>
          </w:rPr>
          <w:t>13</w:t>
        </w:r>
        <w:r w:rsidR="003501FB" w:rsidRPr="003501FB">
          <w:rPr>
            <w:b w:val="0"/>
            <w:webHidden/>
          </w:rPr>
          <w:fldChar w:fldCharType="end"/>
        </w:r>
      </w:hyperlink>
    </w:p>
    <w:p w14:paraId="779ED6A7" w14:textId="77777777" w:rsidR="003501FB" w:rsidRPr="003501FB" w:rsidRDefault="00C06D15" w:rsidP="00C14173">
      <w:pPr>
        <w:pStyle w:val="TableofFigures"/>
        <w:ind w:left="426"/>
        <w:rPr>
          <w:rFonts w:eastAsiaTheme="minorEastAsia"/>
          <w:b w:val="0"/>
          <w:bCs w:val="0"/>
          <w:color w:val="auto"/>
          <w:sz w:val="22"/>
          <w:lang w:val="en-AU" w:eastAsia="en-AU"/>
        </w:rPr>
      </w:pPr>
      <w:hyperlink w:anchor="_Toc522635718" w:history="1">
        <w:r w:rsidR="003501FB" w:rsidRPr="003501FB">
          <w:rPr>
            <w:rStyle w:val="Hyperlink"/>
            <w:b w:val="0"/>
          </w:rPr>
          <w:t>Table 2.6: Australian mining energy consumption, by subsector</w:t>
        </w:r>
        <w:r w:rsidR="003501FB" w:rsidRPr="003501FB">
          <w:rPr>
            <w:b w:val="0"/>
            <w:webHidden/>
          </w:rPr>
          <w:tab/>
        </w:r>
        <w:r w:rsidR="003501FB" w:rsidRPr="003501FB">
          <w:rPr>
            <w:b w:val="0"/>
            <w:webHidden/>
          </w:rPr>
          <w:fldChar w:fldCharType="begin"/>
        </w:r>
        <w:r w:rsidR="003501FB" w:rsidRPr="003501FB">
          <w:rPr>
            <w:b w:val="0"/>
            <w:webHidden/>
          </w:rPr>
          <w:instrText xml:space="preserve"> PAGEREF _Toc522635718 \h </w:instrText>
        </w:r>
        <w:r w:rsidR="003501FB" w:rsidRPr="003501FB">
          <w:rPr>
            <w:b w:val="0"/>
            <w:webHidden/>
          </w:rPr>
        </w:r>
        <w:r w:rsidR="003501FB" w:rsidRPr="003501FB">
          <w:rPr>
            <w:b w:val="0"/>
            <w:webHidden/>
          </w:rPr>
          <w:fldChar w:fldCharType="separate"/>
        </w:r>
        <w:r w:rsidR="00BE7107">
          <w:rPr>
            <w:b w:val="0"/>
            <w:webHidden/>
          </w:rPr>
          <w:t>13</w:t>
        </w:r>
        <w:r w:rsidR="003501FB" w:rsidRPr="003501FB">
          <w:rPr>
            <w:b w:val="0"/>
            <w:webHidden/>
          </w:rPr>
          <w:fldChar w:fldCharType="end"/>
        </w:r>
      </w:hyperlink>
    </w:p>
    <w:p w14:paraId="239DBA9B" w14:textId="77777777" w:rsidR="003501FB" w:rsidRPr="003501FB" w:rsidRDefault="00C06D15" w:rsidP="00C14173">
      <w:pPr>
        <w:pStyle w:val="TableofFigures"/>
        <w:ind w:left="426"/>
        <w:rPr>
          <w:rFonts w:eastAsiaTheme="minorEastAsia"/>
          <w:b w:val="0"/>
          <w:bCs w:val="0"/>
          <w:color w:val="auto"/>
          <w:sz w:val="22"/>
          <w:lang w:val="en-AU" w:eastAsia="en-AU"/>
        </w:rPr>
      </w:pPr>
      <w:hyperlink w:anchor="_Toc522635719" w:history="1">
        <w:r w:rsidR="003501FB" w:rsidRPr="003501FB">
          <w:rPr>
            <w:rStyle w:val="Hyperlink"/>
            <w:b w:val="0"/>
          </w:rPr>
          <w:t>Table 2.7: Australian total final energy consumption, by fuel</w:t>
        </w:r>
        <w:r w:rsidR="003501FB" w:rsidRPr="003501FB">
          <w:rPr>
            <w:b w:val="0"/>
            <w:webHidden/>
          </w:rPr>
          <w:tab/>
        </w:r>
        <w:r w:rsidR="003501FB" w:rsidRPr="003501FB">
          <w:rPr>
            <w:b w:val="0"/>
            <w:webHidden/>
          </w:rPr>
          <w:fldChar w:fldCharType="begin"/>
        </w:r>
        <w:r w:rsidR="003501FB" w:rsidRPr="003501FB">
          <w:rPr>
            <w:b w:val="0"/>
            <w:webHidden/>
          </w:rPr>
          <w:instrText xml:space="preserve"> PAGEREF _Toc522635719 \h </w:instrText>
        </w:r>
        <w:r w:rsidR="003501FB" w:rsidRPr="003501FB">
          <w:rPr>
            <w:b w:val="0"/>
            <w:webHidden/>
          </w:rPr>
        </w:r>
        <w:r w:rsidR="003501FB" w:rsidRPr="003501FB">
          <w:rPr>
            <w:b w:val="0"/>
            <w:webHidden/>
          </w:rPr>
          <w:fldChar w:fldCharType="separate"/>
        </w:r>
        <w:r w:rsidR="00BE7107">
          <w:rPr>
            <w:b w:val="0"/>
            <w:webHidden/>
          </w:rPr>
          <w:t>15</w:t>
        </w:r>
        <w:r w:rsidR="003501FB" w:rsidRPr="003501FB">
          <w:rPr>
            <w:b w:val="0"/>
            <w:webHidden/>
          </w:rPr>
          <w:fldChar w:fldCharType="end"/>
        </w:r>
      </w:hyperlink>
    </w:p>
    <w:p w14:paraId="750CA28C" w14:textId="77777777" w:rsidR="003501FB" w:rsidRPr="003501FB" w:rsidRDefault="00C06D15" w:rsidP="00C14173">
      <w:pPr>
        <w:pStyle w:val="TableofFigures"/>
        <w:ind w:left="426"/>
        <w:rPr>
          <w:rFonts w:eastAsiaTheme="minorEastAsia"/>
          <w:b w:val="0"/>
          <w:bCs w:val="0"/>
          <w:color w:val="auto"/>
          <w:sz w:val="22"/>
          <w:lang w:val="en-AU" w:eastAsia="en-AU"/>
        </w:rPr>
      </w:pPr>
      <w:hyperlink w:anchor="_Toc522635720" w:history="1">
        <w:r w:rsidR="003501FB" w:rsidRPr="003501FB">
          <w:rPr>
            <w:rStyle w:val="Hyperlink"/>
            <w:b w:val="0"/>
          </w:rPr>
          <w:t>Table 2.8: Australian total final energy consumption, by industry</w:t>
        </w:r>
        <w:r w:rsidR="003501FB" w:rsidRPr="003501FB">
          <w:rPr>
            <w:b w:val="0"/>
            <w:webHidden/>
          </w:rPr>
          <w:tab/>
        </w:r>
        <w:r w:rsidR="003501FB" w:rsidRPr="003501FB">
          <w:rPr>
            <w:b w:val="0"/>
            <w:webHidden/>
          </w:rPr>
          <w:fldChar w:fldCharType="begin"/>
        </w:r>
        <w:r w:rsidR="003501FB" w:rsidRPr="003501FB">
          <w:rPr>
            <w:b w:val="0"/>
            <w:webHidden/>
          </w:rPr>
          <w:instrText xml:space="preserve"> PAGEREF _Toc522635720 \h </w:instrText>
        </w:r>
        <w:r w:rsidR="003501FB" w:rsidRPr="003501FB">
          <w:rPr>
            <w:b w:val="0"/>
            <w:webHidden/>
          </w:rPr>
        </w:r>
        <w:r w:rsidR="003501FB" w:rsidRPr="003501FB">
          <w:rPr>
            <w:b w:val="0"/>
            <w:webHidden/>
          </w:rPr>
          <w:fldChar w:fldCharType="separate"/>
        </w:r>
        <w:r w:rsidR="00BE7107">
          <w:rPr>
            <w:b w:val="0"/>
            <w:webHidden/>
          </w:rPr>
          <w:t>16</w:t>
        </w:r>
        <w:r w:rsidR="003501FB" w:rsidRPr="003501FB">
          <w:rPr>
            <w:b w:val="0"/>
            <w:webHidden/>
          </w:rPr>
          <w:fldChar w:fldCharType="end"/>
        </w:r>
      </w:hyperlink>
    </w:p>
    <w:p w14:paraId="00C4D7B0" w14:textId="77777777" w:rsidR="003501FB" w:rsidRPr="003501FB" w:rsidRDefault="00C06D15" w:rsidP="00C14173">
      <w:pPr>
        <w:pStyle w:val="TableofFigures"/>
        <w:ind w:left="426"/>
        <w:rPr>
          <w:rFonts w:eastAsiaTheme="minorEastAsia"/>
          <w:b w:val="0"/>
          <w:bCs w:val="0"/>
          <w:color w:val="auto"/>
          <w:sz w:val="22"/>
          <w:lang w:val="en-AU" w:eastAsia="en-AU"/>
        </w:rPr>
      </w:pPr>
      <w:hyperlink w:anchor="_Toc522635721" w:history="1">
        <w:r w:rsidR="003501FB" w:rsidRPr="003501FB">
          <w:rPr>
            <w:rStyle w:val="Hyperlink"/>
            <w:b w:val="0"/>
          </w:rPr>
          <w:t>Table 2.9: Australian energy consumption, by state and territory</w:t>
        </w:r>
        <w:r w:rsidR="003501FB" w:rsidRPr="003501FB">
          <w:rPr>
            <w:b w:val="0"/>
            <w:webHidden/>
          </w:rPr>
          <w:tab/>
        </w:r>
        <w:r w:rsidR="003501FB" w:rsidRPr="003501FB">
          <w:rPr>
            <w:b w:val="0"/>
            <w:webHidden/>
          </w:rPr>
          <w:fldChar w:fldCharType="begin"/>
        </w:r>
        <w:r w:rsidR="003501FB" w:rsidRPr="003501FB">
          <w:rPr>
            <w:b w:val="0"/>
            <w:webHidden/>
          </w:rPr>
          <w:instrText xml:space="preserve"> PAGEREF _Toc522635721 \h </w:instrText>
        </w:r>
        <w:r w:rsidR="003501FB" w:rsidRPr="003501FB">
          <w:rPr>
            <w:b w:val="0"/>
            <w:webHidden/>
          </w:rPr>
        </w:r>
        <w:r w:rsidR="003501FB" w:rsidRPr="003501FB">
          <w:rPr>
            <w:b w:val="0"/>
            <w:webHidden/>
          </w:rPr>
          <w:fldChar w:fldCharType="separate"/>
        </w:r>
        <w:r w:rsidR="00BE7107">
          <w:rPr>
            <w:b w:val="0"/>
            <w:webHidden/>
          </w:rPr>
          <w:t>17</w:t>
        </w:r>
        <w:r w:rsidR="003501FB" w:rsidRPr="003501FB">
          <w:rPr>
            <w:b w:val="0"/>
            <w:webHidden/>
          </w:rPr>
          <w:fldChar w:fldCharType="end"/>
        </w:r>
      </w:hyperlink>
    </w:p>
    <w:p w14:paraId="1A93341C" w14:textId="77777777" w:rsidR="003501FB" w:rsidRPr="003501FB" w:rsidRDefault="00C06D15" w:rsidP="00C14173">
      <w:pPr>
        <w:pStyle w:val="TableofFigures"/>
        <w:ind w:left="426"/>
        <w:rPr>
          <w:rFonts w:eastAsiaTheme="minorEastAsia"/>
          <w:b w:val="0"/>
          <w:bCs w:val="0"/>
          <w:color w:val="auto"/>
          <w:sz w:val="22"/>
          <w:lang w:val="en-AU" w:eastAsia="en-AU"/>
        </w:rPr>
      </w:pPr>
      <w:hyperlink w:anchor="_Toc522635722" w:history="1">
        <w:r w:rsidR="003501FB" w:rsidRPr="003501FB">
          <w:rPr>
            <w:rStyle w:val="Hyperlink"/>
            <w:b w:val="0"/>
          </w:rPr>
          <w:t>Table 3.1: Australian energy production, by fuel type</w:t>
        </w:r>
        <w:r w:rsidR="003501FB" w:rsidRPr="003501FB">
          <w:rPr>
            <w:b w:val="0"/>
            <w:webHidden/>
          </w:rPr>
          <w:tab/>
        </w:r>
        <w:r w:rsidR="003501FB" w:rsidRPr="003501FB">
          <w:rPr>
            <w:b w:val="0"/>
            <w:webHidden/>
          </w:rPr>
          <w:fldChar w:fldCharType="begin"/>
        </w:r>
        <w:r w:rsidR="003501FB" w:rsidRPr="003501FB">
          <w:rPr>
            <w:b w:val="0"/>
            <w:webHidden/>
          </w:rPr>
          <w:instrText xml:space="preserve"> PAGEREF _Toc522635722 \h </w:instrText>
        </w:r>
        <w:r w:rsidR="003501FB" w:rsidRPr="003501FB">
          <w:rPr>
            <w:b w:val="0"/>
            <w:webHidden/>
          </w:rPr>
        </w:r>
        <w:r w:rsidR="003501FB" w:rsidRPr="003501FB">
          <w:rPr>
            <w:b w:val="0"/>
            <w:webHidden/>
          </w:rPr>
          <w:fldChar w:fldCharType="separate"/>
        </w:r>
        <w:r w:rsidR="00BE7107">
          <w:rPr>
            <w:b w:val="0"/>
            <w:webHidden/>
          </w:rPr>
          <w:t>18</w:t>
        </w:r>
        <w:r w:rsidR="003501FB" w:rsidRPr="003501FB">
          <w:rPr>
            <w:b w:val="0"/>
            <w:webHidden/>
          </w:rPr>
          <w:fldChar w:fldCharType="end"/>
        </w:r>
      </w:hyperlink>
    </w:p>
    <w:p w14:paraId="1C42E05B" w14:textId="77777777" w:rsidR="003501FB" w:rsidRPr="003501FB" w:rsidRDefault="00C06D15" w:rsidP="00C14173">
      <w:pPr>
        <w:pStyle w:val="TableofFigures"/>
        <w:ind w:left="426"/>
        <w:rPr>
          <w:rFonts w:eastAsiaTheme="minorEastAsia"/>
          <w:b w:val="0"/>
          <w:bCs w:val="0"/>
          <w:color w:val="auto"/>
          <w:sz w:val="22"/>
          <w:lang w:val="en-AU" w:eastAsia="en-AU"/>
        </w:rPr>
      </w:pPr>
      <w:hyperlink w:anchor="_Toc522635723" w:history="1">
        <w:r w:rsidR="003501FB" w:rsidRPr="003501FB">
          <w:rPr>
            <w:rStyle w:val="Hyperlink"/>
            <w:b w:val="0"/>
          </w:rPr>
          <w:t>Table 3.2: Australian electricity generation, by fuel type</w:t>
        </w:r>
        <w:r w:rsidR="003501FB" w:rsidRPr="003501FB">
          <w:rPr>
            <w:b w:val="0"/>
            <w:webHidden/>
          </w:rPr>
          <w:tab/>
        </w:r>
        <w:r w:rsidR="003501FB" w:rsidRPr="003501FB">
          <w:rPr>
            <w:b w:val="0"/>
            <w:webHidden/>
          </w:rPr>
          <w:fldChar w:fldCharType="begin"/>
        </w:r>
        <w:r w:rsidR="003501FB" w:rsidRPr="003501FB">
          <w:rPr>
            <w:b w:val="0"/>
            <w:webHidden/>
          </w:rPr>
          <w:instrText xml:space="preserve"> PAGEREF _Toc522635723 \h </w:instrText>
        </w:r>
        <w:r w:rsidR="003501FB" w:rsidRPr="003501FB">
          <w:rPr>
            <w:b w:val="0"/>
            <w:webHidden/>
          </w:rPr>
        </w:r>
        <w:r w:rsidR="003501FB" w:rsidRPr="003501FB">
          <w:rPr>
            <w:b w:val="0"/>
            <w:webHidden/>
          </w:rPr>
          <w:fldChar w:fldCharType="separate"/>
        </w:r>
        <w:r w:rsidR="00BE7107">
          <w:rPr>
            <w:b w:val="0"/>
            <w:webHidden/>
          </w:rPr>
          <w:t>23</w:t>
        </w:r>
        <w:r w:rsidR="003501FB" w:rsidRPr="003501FB">
          <w:rPr>
            <w:b w:val="0"/>
            <w:webHidden/>
          </w:rPr>
          <w:fldChar w:fldCharType="end"/>
        </w:r>
      </w:hyperlink>
    </w:p>
    <w:p w14:paraId="4CA5BB4B" w14:textId="77777777" w:rsidR="003501FB" w:rsidRPr="003501FB" w:rsidRDefault="00C06D15" w:rsidP="00C14173">
      <w:pPr>
        <w:pStyle w:val="TableofFigures"/>
        <w:ind w:left="426"/>
        <w:rPr>
          <w:rFonts w:eastAsiaTheme="minorEastAsia"/>
          <w:b w:val="0"/>
          <w:bCs w:val="0"/>
          <w:color w:val="auto"/>
          <w:sz w:val="22"/>
          <w:lang w:val="en-AU" w:eastAsia="en-AU"/>
        </w:rPr>
      </w:pPr>
      <w:hyperlink w:anchor="_Toc522635724" w:history="1">
        <w:r w:rsidR="003501FB" w:rsidRPr="003501FB">
          <w:rPr>
            <w:rStyle w:val="Hyperlink"/>
            <w:b w:val="0"/>
          </w:rPr>
          <w:t>Table 3.3: Australian electricity generation, by fuel type, calendar year 2017</w:t>
        </w:r>
        <w:r w:rsidR="003501FB" w:rsidRPr="003501FB">
          <w:rPr>
            <w:b w:val="0"/>
            <w:webHidden/>
          </w:rPr>
          <w:tab/>
        </w:r>
        <w:r w:rsidR="003501FB" w:rsidRPr="003501FB">
          <w:rPr>
            <w:b w:val="0"/>
            <w:webHidden/>
          </w:rPr>
          <w:fldChar w:fldCharType="begin"/>
        </w:r>
        <w:r w:rsidR="003501FB" w:rsidRPr="003501FB">
          <w:rPr>
            <w:b w:val="0"/>
            <w:webHidden/>
          </w:rPr>
          <w:instrText xml:space="preserve"> PAGEREF _Toc522635724 \h </w:instrText>
        </w:r>
        <w:r w:rsidR="003501FB" w:rsidRPr="003501FB">
          <w:rPr>
            <w:b w:val="0"/>
            <w:webHidden/>
          </w:rPr>
        </w:r>
        <w:r w:rsidR="003501FB" w:rsidRPr="003501FB">
          <w:rPr>
            <w:b w:val="0"/>
            <w:webHidden/>
          </w:rPr>
          <w:fldChar w:fldCharType="separate"/>
        </w:r>
        <w:r w:rsidR="00BE7107">
          <w:rPr>
            <w:b w:val="0"/>
            <w:webHidden/>
          </w:rPr>
          <w:t>25</w:t>
        </w:r>
        <w:r w:rsidR="003501FB" w:rsidRPr="003501FB">
          <w:rPr>
            <w:b w:val="0"/>
            <w:webHidden/>
          </w:rPr>
          <w:fldChar w:fldCharType="end"/>
        </w:r>
      </w:hyperlink>
    </w:p>
    <w:p w14:paraId="0D0EFF3C" w14:textId="77777777" w:rsidR="003501FB" w:rsidRPr="003501FB" w:rsidRDefault="00C06D15" w:rsidP="00C14173">
      <w:pPr>
        <w:pStyle w:val="TableofFigures"/>
        <w:ind w:left="426"/>
        <w:rPr>
          <w:rFonts w:eastAsiaTheme="minorEastAsia"/>
          <w:b w:val="0"/>
          <w:bCs w:val="0"/>
          <w:color w:val="auto"/>
          <w:sz w:val="22"/>
          <w:lang w:val="en-AU" w:eastAsia="en-AU"/>
        </w:rPr>
      </w:pPr>
      <w:hyperlink w:anchor="_Toc522635725" w:history="1">
        <w:r w:rsidR="003501FB" w:rsidRPr="003501FB">
          <w:rPr>
            <w:rStyle w:val="Hyperlink"/>
            <w:b w:val="0"/>
          </w:rPr>
          <w:t>Table 4.1: Australian energy exports, by fuel type</w:t>
        </w:r>
        <w:r w:rsidR="003501FB" w:rsidRPr="003501FB">
          <w:rPr>
            <w:b w:val="0"/>
            <w:webHidden/>
          </w:rPr>
          <w:tab/>
        </w:r>
        <w:r w:rsidR="003501FB" w:rsidRPr="003501FB">
          <w:rPr>
            <w:b w:val="0"/>
            <w:webHidden/>
          </w:rPr>
          <w:fldChar w:fldCharType="begin"/>
        </w:r>
        <w:r w:rsidR="003501FB" w:rsidRPr="003501FB">
          <w:rPr>
            <w:b w:val="0"/>
            <w:webHidden/>
          </w:rPr>
          <w:instrText xml:space="preserve"> PAGEREF _Toc522635725 \h </w:instrText>
        </w:r>
        <w:r w:rsidR="003501FB" w:rsidRPr="003501FB">
          <w:rPr>
            <w:b w:val="0"/>
            <w:webHidden/>
          </w:rPr>
        </w:r>
        <w:r w:rsidR="003501FB" w:rsidRPr="003501FB">
          <w:rPr>
            <w:b w:val="0"/>
            <w:webHidden/>
          </w:rPr>
          <w:fldChar w:fldCharType="separate"/>
        </w:r>
        <w:r w:rsidR="00BE7107">
          <w:rPr>
            <w:b w:val="0"/>
            <w:webHidden/>
          </w:rPr>
          <w:t>27</w:t>
        </w:r>
        <w:r w:rsidR="003501FB" w:rsidRPr="003501FB">
          <w:rPr>
            <w:b w:val="0"/>
            <w:webHidden/>
          </w:rPr>
          <w:fldChar w:fldCharType="end"/>
        </w:r>
      </w:hyperlink>
    </w:p>
    <w:p w14:paraId="13624777" w14:textId="77777777" w:rsidR="003501FB" w:rsidRPr="003501FB" w:rsidRDefault="00C06D15" w:rsidP="00C14173">
      <w:pPr>
        <w:pStyle w:val="TableofFigures"/>
        <w:ind w:left="426"/>
        <w:rPr>
          <w:rFonts w:eastAsiaTheme="minorEastAsia"/>
          <w:b w:val="0"/>
          <w:bCs w:val="0"/>
          <w:color w:val="auto"/>
          <w:sz w:val="22"/>
          <w:lang w:val="en-AU" w:eastAsia="en-AU"/>
        </w:rPr>
      </w:pPr>
      <w:hyperlink w:anchor="_Toc522635726" w:history="1">
        <w:r w:rsidR="003501FB" w:rsidRPr="003501FB">
          <w:rPr>
            <w:rStyle w:val="Hyperlink"/>
            <w:b w:val="0"/>
          </w:rPr>
          <w:t>Table 4.2: Australian energy imports, by fuel type</w:t>
        </w:r>
        <w:r w:rsidR="003501FB" w:rsidRPr="003501FB">
          <w:rPr>
            <w:b w:val="0"/>
            <w:webHidden/>
          </w:rPr>
          <w:tab/>
        </w:r>
        <w:r w:rsidR="003501FB" w:rsidRPr="003501FB">
          <w:rPr>
            <w:b w:val="0"/>
            <w:webHidden/>
          </w:rPr>
          <w:fldChar w:fldCharType="begin"/>
        </w:r>
        <w:r w:rsidR="003501FB" w:rsidRPr="003501FB">
          <w:rPr>
            <w:b w:val="0"/>
            <w:webHidden/>
          </w:rPr>
          <w:instrText xml:space="preserve"> PAGEREF _Toc522635726 \h </w:instrText>
        </w:r>
        <w:r w:rsidR="003501FB" w:rsidRPr="003501FB">
          <w:rPr>
            <w:b w:val="0"/>
            <w:webHidden/>
          </w:rPr>
        </w:r>
        <w:r w:rsidR="003501FB" w:rsidRPr="003501FB">
          <w:rPr>
            <w:b w:val="0"/>
            <w:webHidden/>
          </w:rPr>
          <w:fldChar w:fldCharType="separate"/>
        </w:r>
        <w:r w:rsidR="00BE7107">
          <w:rPr>
            <w:b w:val="0"/>
            <w:webHidden/>
          </w:rPr>
          <w:t>29</w:t>
        </w:r>
        <w:r w:rsidR="003501FB" w:rsidRPr="003501FB">
          <w:rPr>
            <w:b w:val="0"/>
            <w:webHidden/>
          </w:rPr>
          <w:fldChar w:fldCharType="end"/>
        </w:r>
      </w:hyperlink>
    </w:p>
    <w:p w14:paraId="5E91EB5D" w14:textId="3C602B8E" w:rsidR="00C1400E" w:rsidRDefault="00243AF9" w:rsidP="003501FB">
      <w:pPr>
        <w:pStyle w:val="BodyText"/>
        <w:spacing w:after="0"/>
        <w:ind w:left="567" w:right="373"/>
        <w:jc w:val="left"/>
        <w:rPr>
          <w:lang w:val="en-GB"/>
        </w:rPr>
      </w:pPr>
      <w:r w:rsidRPr="003501FB">
        <w:rPr>
          <w:lang w:val="en-GB"/>
        </w:rPr>
        <w:fldChar w:fldCharType="end"/>
      </w:r>
    </w:p>
    <w:p w14:paraId="18857155" w14:textId="77777777" w:rsidR="00C1400E" w:rsidRDefault="00C1400E">
      <w:pPr>
        <w:spacing w:after="200" w:line="276" w:lineRule="auto"/>
        <w:ind w:left="0"/>
        <w:jc w:val="left"/>
        <w:rPr>
          <w:rFonts w:asciiTheme="minorHAnsi" w:hAnsiTheme="minorHAnsi"/>
          <w:lang w:val="en-GB"/>
        </w:rPr>
      </w:pPr>
    </w:p>
    <w:p w14:paraId="7EB88891" w14:textId="0CAA6868" w:rsidR="001F4600" w:rsidRPr="001F1F3C" w:rsidRDefault="001F4600" w:rsidP="001F4600">
      <w:pPr>
        <w:pStyle w:val="UnnumberedHeading"/>
        <w:rPr>
          <w:lang w:val="en-GB"/>
        </w:rPr>
      </w:pPr>
      <w:r w:rsidRPr="001F1F3C">
        <w:t>Abbreviations</w:t>
      </w:r>
    </w:p>
    <w:p w14:paraId="5CC264BD" w14:textId="77777777" w:rsidR="00022BB9" w:rsidRDefault="00022BB9" w:rsidP="00BD629F">
      <w:pPr>
        <w:pStyle w:val="ListBullet"/>
        <w:numPr>
          <w:ilvl w:val="0"/>
          <w:numId w:val="0"/>
        </w:numPr>
        <w:tabs>
          <w:tab w:val="left" w:pos="1276"/>
        </w:tabs>
        <w:spacing w:after="180" w:line="240" w:lineRule="auto"/>
        <w:ind w:left="1276" w:hanging="1276"/>
        <w:jc w:val="left"/>
      </w:pPr>
      <w:r>
        <w:t>ABARES</w:t>
      </w:r>
      <w:r>
        <w:tab/>
        <w:t>Australian Bureau of Agricultural and Resource Economics and Sciences</w:t>
      </w:r>
    </w:p>
    <w:p w14:paraId="289F9F5F" w14:textId="77777777" w:rsidR="00022BB9" w:rsidRDefault="00022BB9" w:rsidP="00BD629F">
      <w:pPr>
        <w:pStyle w:val="ListBullet"/>
        <w:numPr>
          <w:ilvl w:val="0"/>
          <w:numId w:val="0"/>
        </w:numPr>
        <w:tabs>
          <w:tab w:val="left" w:pos="1276"/>
        </w:tabs>
        <w:spacing w:after="180" w:line="240" w:lineRule="auto"/>
        <w:ind w:left="1276" w:hanging="1276"/>
        <w:jc w:val="left"/>
      </w:pPr>
      <w:r>
        <w:t>ABS</w:t>
      </w:r>
      <w:r>
        <w:tab/>
        <w:t>Australian Bureau of Statistics</w:t>
      </w:r>
    </w:p>
    <w:p w14:paraId="76F79908" w14:textId="77777777" w:rsidR="00022BB9" w:rsidRDefault="00022BB9" w:rsidP="00BD629F">
      <w:pPr>
        <w:pStyle w:val="ListBullet"/>
        <w:numPr>
          <w:ilvl w:val="0"/>
          <w:numId w:val="0"/>
        </w:numPr>
        <w:tabs>
          <w:tab w:val="left" w:pos="1276"/>
        </w:tabs>
        <w:spacing w:after="180" w:line="240" w:lineRule="auto"/>
        <w:ind w:left="1276" w:hanging="1276"/>
        <w:jc w:val="left"/>
      </w:pPr>
      <w:r>
        <w:t>APS</w:t>
      </w:r>
      <w:r>
        <w:tab/>
        <w:t>Australian Petroleum Statistics</w:t>
      </w:r>
    </w:p>
    <w:p w14:paraId="13B6B455" w14:textId="77777777" w:rsidR="00022BB9" w:rsidRDefault="00022BB9" w:rsidP="00BD629F">
      <w:pPr>
        <w:pStyle w:val="ListBullet"/>
        <w:numPr>
          <w:ilvl w:val="0"/>
          <w:numId w:val="0"/>
        </w:numPr>
        <w:tabs>
          <w:tab w:val="left" w:pos="1276"/>
        </w:tabs>
        <w:spacing w:after="180" w:line="240" w:lineRule="auto"/>
        <w:ind w:left="1276" w:hanging="1276"/>
        <w:jc w:val="left"/>
      </w:pPr>
      <w:r>
        <w:t>BITRE</w:t>
      </w:r>
      <w:r>
        <w:tab/>
        <w:t>Bureau of Infrastructure, Transport and Regional Economics</w:t>
      </w:r>
    </w:p>
    <w:p w14:paraId="6330CE0F" w14:textId="77777777" w:rsidR="00022BB9" w:rsidRDefault="00022BB9" w:rsidP="00BD629F">
      <w:pPr>
        <w:pStyle w:val="ListBullet"/>
        <w:numPr>
          <w:ilvl w:val="0"/>
          <w:numId w:val="0"/>
        </w:numPr>
        <w:tabs>
          <w:tab w:val="left" w:pos="1276"/>
        </w:tabs>
        <w:spacing w:after="180" w:line="240" w:lineRule="auto"/>
        <w:ind w:left="1276" w:hanging="1276"/>
        <w:jc w:val="left"/>
      </w:pPr>
      <w:r>
        <w:t>BREE</w:t>
      </w:r>
      <w:r>
        <w:tab/>
        <w:t>Bureau of Resources and Energy Economics (former)</w:t>
      </w:r>
    </w:p>
    <w:p w14:paraId="4BBCB882" w14:textId="00954DB3" w:rsidR="00022BB9" w:rsidRDefault="00022BB9" w:rsidP="00BD629F">
      <w:pPr>
        <w:pStyle w:val="ListBullet"/>
        <w:numPr>
          <w:ilvl w:val="0"/>
          <w:numId w:val="0"/>
        </w:numPr>
        <w:tabs>
          <w:tab w:val="left" w:pos="1276"/>
        </w:tabs>
        <w:spacing w:after="180" w:line="240" w:lineRule="auto"/>
        <w:ind w:left="1276" w:hanging="1276"/>
        <w:jc w:val="left"/>
      </w:pPr>
      <w:r>
        <w:t>CSG</w:t>
      </w:r>
      <w:r>
        <w:tab/>
        <w:t xml:space="preserve">Coal seam gas </w:t>
      </w:r>
    </w:p>
    <w:p w14:paraId="54BB9EFF" w14:textId="7AD28E69" w:rsidR="00022BB9" w:rsidRDefault="00022BB9" w:rsidP="00BD629F">
      <w:pPr>
        <w:pStyle w:val="ListBullet"/>
        <w:numPr>
          <w:ilvl w:val="0"/>
          <w:numId w:val="0"/>
        </w:numPr>
        <w:tabs>
          <w:tab w:val="left" w:pos="1276"/>
        </w:tabs>
        <w:spacing w:after="180" w:line="240" w:lineRule="auto"/>
        <w:ind w:left="1276" w:hanging="1276"/>
        <w:jc w:val="left"/>
      </w:pPr>
      <w:r>
        <w:t>GWh</w:t>
      </w:r>
      <w:r>
        <w:tab/>
        <w:t xml:space="preserve">Gigawatt hours </w:t>
      </w:r>
    </w:p>
    <w:p w14:paraId="031B3289" w14:textId="456E5177" w:rsidR="004D4BEA" w:rsidRDefault="004D4BEA" w:rsidP="00BD629F">
      <w:pPr>
        <w:pStyle w:val="ListBullet"/>
        <w:numPr>
          <w:ilvl w:val="0"/>
          <w:numId w:val="0"/>
        </w:numPr>
        <w:tabs>
          <w:tab w:val="left" w:pos="1276"/>
        </w:tabs>
        <w:spacing w:after="180" w:line="240" w:lineRule="auto"/>
        <w:ind w:left="1276" w:hanging="1276"/>
        <w:jc w:val="left"/>
      </w:pPr>
      <w:r>
        <w:t>GDP</w:t>
      </w:r>
      <w:r>
        <w:tab/>
        <w:t>Gross domestic product</w:t>
      </w:r>
    </w:p>
    <w:p w14:paraId="7C99A828" w14:textId="77777777" w:rsidR="00022BB9" w:rsidRDefault="00022BB9" w:rsidP="00BD629F">
      <w:pPr>
        <w:pStyle w:val="ListBullet"/>
        <w:numPr>
          <w:ilvl w:val="0"/>
          <w:numId w:val="0"/>
        </w:numPr>
        <w:tabs>
          <w:tab w:val="left" w:pos="1276"/>
        </w:tabs>
        <w:spacing w:after="180" w:line="240" w:lineRule="auto"/>
        <w:ind w:left="1276" w:hanging="1276"/>
        <w:jc w:val="left"/>
      </w:pPr>
      <w:r>
        <w:t>IEA</w:t>
      </w:r>
      <w:r>
        <w:tab/>
        <w:t>International Energy Agency</w:t>
      </w:r>
    </w:p>
    <w:p w14:paraId="5D14B2A3" w14:textId="6549657F" w:rsidR="00022BB9" w:rsidRDefault="00E901FC" w:rsidP="00BD629F">
      <w:pPr>
        <w:pStyle w:val="ListBullet"/>
        <w:numPr>
          <w:ilvl w:val="0"/>
          <w:numId w:val="0"/>
        </w:numPr>
        <w:tabs>
          <w:tab w:val="left" w:pos="1276"/>
        </w:tabs>
        <w:spacing w:after="180" w:line="240" w:lineRule="auto"/>
        <w:ind w:left="1276" w:hanging="1276"/>
        <w:jc w:val="left"/>
      </w:pPr>
      <w:r>
        <w:t>LNG</w:t>
      </w:r>
      <w:r>
        <w:tab/>
        <w:t>Liquefied natural gas</w:t>
      </w:r>
    </w:p>
    <w:p w14:paraId="7E15F52C" w14:textId="6FCF60FA" w:rsidR="00022BB9" w:rsidRDefault="00E901FC" w:rsidP="00BD629F">
      <w:pPr>
        <w:pStyle w:val="ListBullet"/>
        <w:numPr>
          <w:ilvl w:val="0"/>
          <w:numId w:val="0"/>
        </w:numPr>
        <w:tabs>
          <w:tab w:val="left" w:pos="1276"/>
        </w:tabs>
        <w:spacing w:after="180" w:line="240" w:lineRule="auto"/>
        <w:ind w:left="1276" w:hanging="1276"/>
        <w:jc w:val="left"/>
      </w:pPr>
      <w:r>
        <w:t>LPG</w:t>
      </w:r>
      <w:r>
        <w:tab/>
        <w:t>Liquefied petroleum gas</w:t>
      </w:r>
    </w:p>
    <w:p w14:paraId="5898E6ED" w14:textId="3119E02D" w:rsidR="00022BB9" w:rsidRDefault="00022BB9" w:rsidP="00BD629F">
      <w:pPr>
        <w:pStyle w:val="ListBullet"/>
        <w:numPr>
          <w:ilvl w:val="0"/>
          <w:numId w:val="0"/>
        </w:numPr>
        <w:tabs>
          <w:tab w:val="left" w:pos="1276"/>
        </w:tabs>
        <w:spacing w:after="180" w:line="240" w:lineRule="auto"/>
        <w:ind w:left="1276" w:hanging="1276"/>
        <w:jc w:val="left"/>
      </w:pPr>
      <w:r>
        <w:t>NGERS</w:t>
      </w:r>
      <w:r>
        <w:tab/>
        <w:t xml:space="preserve">National Greenhouse and Energy Reporting </w:t>
      </w:r>
      <w:r w:rsidR="00E901FC">
        <w:t>S</w:t>
      </w:r>
      <w:r>
        <w:t xml:space="preserve">cheme </w:t>
      </w:r>
    </w:p>
    <w:p w14:paraId="7CDFFBE5" w14:textId="48B9EA66" w:rsidR="00022BB9" w:rsidRDefault="00022BB9" w:rsidP="00BD629F">
      <w:pPr>
        <w:pStyle w:val="ListBullet"/>
        <w:numPr>
          <w:ilvl w:val="0"/>
          <w:numId w:val="0"/>
        </w:numPr>
        <w:tabs>
          <w:tab w:val="left" w:pos="1276"/>
        </w:tabs>
        <w:spacing w:after="180" w:line="240" w:lineRule="auto"/>
        <w:ind w:left="1276" w:hanging="1276"/>
        <w:jc w:val="left"/>
      </w:pPr>
      <w:r>
        <w:t>NGL</w:t>
      </w:r>
      <w:r>
        <w:tab/>
        <w:t>Natural gas liquids</w:t>
      </w:r>
    </w:p>
    <w:p w14:paraId="37CF6C50" w14:textId="1F6232E8" w:rsidR="00022BB9" w:rsidRDefault="00022BB9" w:rsidP="00BD629F">
      <w:pPr>
        <w:pStyle w:val="ListBullet"/>
        <w:numPr>
          <w:ilvl w:val="0"/>
          <w:numId w:val="0"/>
        </w:numPr>
        <w:tabs>
          <w:tab w:val="left" w:pos="1276"/>
        </w:tabs>
        <w:spacing w:after="180" w:line="240" w:lineRule="auto"/>
        <w:ind w:left="1276" w:hanging="1276"/>
        <w:jc w:val="left"/>
      </w:pPr>
      <w:r>
        <w:t>ORF</w:t>
      </w:r>
      <w:r>
        <w:tab/>
        <w:t xml:space="preserve">Other refinery feedstock </w:t>
      </w:r>
    </w:p>
    <w:p w14:paraId="2C31F259" w14:textId="77777777" w:rsidR="00022BB9" w:rsidRDefault="00022BB9" w:rsidP="00BD629F">
      <w:pPr>
        <w:pStyle w:val="ListBullet"/>
        <w:numPr>
          <w:ilvl w:val="0"/>
          <w:numId w:val="0"/>
        </w:numPr>
        <w:tabs>
          <w:tab w:val="left" w:pos="1276"/>
        </w:tabs>
        <w:spacing w:after="180" w:line="240" w:lineRule="auto"/>
        <w:ind w:left="1276" w:hanging="1276"/>
        <w:jc w:val="left"/>
      </w:pPr>
      <w:r>
        <w:t>OCE</w:t>
      </w:r>
      <w:r>
        <w:tab/>
        <w:t>Office of the Chief Economist</w:t>
      </w:r>
    </w:p>
    <w:p w14:paraId="132B1920" w14:textId="42D082AA" w:rsidR="00022BB9" w:rsidRDefault="00022BB9" w:rsidP="00BD629F">
      <w:pPr>
        <w:pStyle w:val="ListBullet"/>
        <w:numPr>
          <w:ilvl w:val="0"/>
          <w:numId w:val="0"/>
        </w:numPr>
        <w:tabs>
          <w:tab w:val="left" w:pos="1276"/>
        </w:tabs>
        <w:spacing w:after="180" w:line="240" w:lineRule="auto"/>
        <w:ind w:left="1276" w:hanging="1276"/>
        <w:jc w:val="left"/>
      </w:pPr>
      <w:r>
        <w:t>PJ</w:t>
      </w:r>
      <w:r>
        <w:tab/>
        <w:t>Petajoule</w:t>
      </w:r>
    </w:p>
    <w:p w14:paraId="776F9D77" w14:textId="2D6871FE" w:rsidR="00022BB9" w:rsidRDefault="00E901FC" w:rsidP="00BD629F">
      <w:pPr>
        <w:pStyle w:val="ListBullet"/>
        <w:numPr>
          <w:ilvl w:val="0"/>
          <w:numId w:val="0"/>
        </w:numPr>
        <w:tabs>
          <w:tab w:val="left" w:pos="1276"/>
        </w:tabs>
        <w:spacing w:after="180" w:line="240" w:lineRule="auto"/>
        <w:ind w:left="1276" w:hanging="1276"/>
        <w:jc w:val="left"/>
      </w:pPr>
      <w:r>
        <w:t>PV</w:t>
      </w:r>
      <w:r>
        <w:tab/>
        <w:t>Photovoltaic</w:t>
      </w:r>
    </w:p>
    <w:p w14:paraId="51B225BB" w14:textId="77777777" w:rsidR="00687FF3" w:rsidRDefault="00687FF3" w:rsidP="00B05B9A">
      <w:pPr>
        <w:pStyle w:val="Heading1"/>
        <w:numPr>
          <w:ilvl w:val="0"/>
          <w:numId w:val="0"/>
        </w:numPr>
        <w:ind w:left="360"/>
        <w:rPr>
          <w:lang w:val="en-GB"/>
        </w:rPr>
        <w:sectPr w:rsidR="00687FF3" w:rsidSect="00687FF3">
          <w:footerReference w:type="default" r:id="rId19"/>
          <w:pgSz w:w="11906" w:h="16838" w:code="9"/>
          <w:pgMar w:top="1440" w:right="1440" w:bottom="1440" w:left="3572" w:header="709" w:footer="709" w:gutter="0"/>
          <w:pgNumType w:fmt="lowerRoman"/>
          <w:cols w:space="708"/>
          <w:docGrid w:linePitch="360"/>
        </w:sectPr>
      </w:pPr>
    </w:p>
    <w:p w14:paraId="2EA24075" w14:textId="3A5E57AB" w:rsidR="001F4600" w:rsidRDefault="0059492A" w:rsidP="003750EE">
      <w:pPr>
        <w:pStyle w:val="Heading1"/>
        <w:numPr>
          <w:ilvl w:val="0"/>
          <w:numId w:val="0"/>
        </w:numPr>
      </w:pPr>
      <w:bookmarkStart w:id="1" w:name="_Toc428130022"/>
      <w:bookmarkStart w:id="2" w:name="_Toc522197014"/>
      <w:bookmarkStart w:id="3" w:name="_Toc522633178"/>
      <w:r w:rsidRPr="00082FE6">
        <w:lastRenderedPageBreak/>
        <w:t xml:space="preserve">Executive </w:t>
      </w:r>
      <w:bookmarkEnd w:id="1"/>
      <w:bookmarkEnd w:id="2"/>
      <w:r w:rsidR="00DB3AAE">
        <w:t>summary</w:t>
      </w:r>
      <w:bookmarkEnd w:id="3"/>
    </w:p>
    <w:p w14:paraId="218F965B" w14:textId="2E8C0C1D" w:rsidR="003E1DC8" w:rsidRPr="005F5D85" w:rsidRDefault="00E54721" w:rsidP="003750EE">
      <w:pPr>
        <w:spacing w:before="480" w:after="200" w:line="276" w:lineRule="auto"/>
        <w:ind w:left="0" w:hanging="284"/>
        <w:jc w:val="left"/>
        <w:rPr>
          <w:rFonts w:asciiTheme="majorHAnsi" w:eastAsia="Times New Roman" w:hAnsiTheme="majorHAnsi" w:cs="Arial"/>
          <w:iCs/>
          <w:color w:val="6CCCDE"/>
          <w:kern w:val="32"/>
          <w:sz w:val="22"/>
          <w:szCs w:val="28"/>
        </w:rPr>
      </w:pPr>
      <w:bookmarkStart w:id="4" w:name="_Energy_consumption"/>
      <w:bookmarkStart w:id="5" w:name="_Toc428130023"/>
      <w:bookmarkEnd w:id="4"/>
      <w:r>
        <w:rPr>
          <w:rFonts w:asciiTheme="minorHAnsi" w:hAnsiTheme="minorHAnsi"/>
          <w:noProof/>
          <w:color w:val="auto"/>
          <w:sz w:val="16"/>
          <w:szCs w:val="16"/>
          <w:lang w:eastAsia="en-AU"/>
        </w:rPr>
        <w:drawing>
          <wp:inline distT="0" distB="0" distL="0" distR="0" wp14:anchorId="4DB96E9B" wp14:editId="4E7E370C">
            <wp:extent cx="4327072" cy="8190930"/>
            <wp:effectExtent l="0" t="0" r="0" b="635"/>
            <wp:docPr id="5" name="Picture 5" descr="Infographic of key statistics from Australian Energy Statistics 2016-17" title="Australian Energy Statistics 20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NR027.0818_Australian energy stats page_V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334398" cy="8204798"/>
                    </a:xfrm>
                    <a:prstGeom prst="rect">
                      <a:avLst/>
                    </a:prstGeom>
                  </pic:spPr>
                </pic:pic>
              </a:graphicData>
            </a:graphic>
          </wp:inline>
        </w:drawing>
      </w:r>
      <w:r w:rsidR="003E1DC8" w:rsidRPr="000378B5">
        <w:br w:type="page"/>
      </w:r>
    </w:p>
    <w:p w14:paraId="1C87F056" w14:textId="7B9411FC" w:rsidR="001F4600" w:rsidRPr="005F5D85" w:rsidRDefault="001F4600" w:rsidP="00082FE6">
      <w:pPr>
        <w:pStyle w:val="Heading2"/>
        <w:numPr>
          <w:ilvl w:val="0"/>
          <w:numId w:val="0"/>
        </w:numPr>
      </w:pPr>
      <w:bookmarkStart w:id="6" w:name="_Toc492240070"/>
      <w:bookmarkStart w:id="7" w:name="_Toc521337530"/>
      <w:bookmarkStart w:id="8" w:name="_Toc521337645"/>
      <w:bookmarkStart w:id="9" w:name="_Toc522197015"/>
      <w:bookmarkStart w:id="10" w:name="_Toc522200461"/>
      <w:bookmarkStart w:id="11" w:name="_Toc522633179"/>
      <w:r w:rsidRPr="005F5D85">
        <w:lastRenderedPageBreak/>
        <w:t xml:space="preserve">Energy </w:t>
      </w:r>
      <w:bookmarkEnd w:id="5"/>
      <w:bookmarkEnd w:id="6"/>
      <w:bookmarkEnd w:id="7"/>
      <w:bookmarkEnd w:id="8"/>
      <w:bookmarkEnd w:id="9"/>
      <w:bookmarkEnd w:id="10"/>
      <w:r w:rsidR="00797972">
        <w:t>consumption</w:t>
      </w:r>
      <w:bookmarkEnd w:id="11"/>
    </w:p>
    <w:p w14:paraId="7E0E50E3" w14:textId="3C5F35B3" w:rsidR="004D4BEA" w:rsidRPr="00123630" w:rsidRDefault="004D4BEA" w:rsidP="004D4BEA">
      <w:pPr>
        <w:pStyle w:val="ListBullet"/>
        <w:numPr>
          <w:ilvl w:val="0"/>
          <w:numId w:val="4"/>
        </w:numPr>
        <w:rPr>
          <w:i/>
        </w:rPr>
      </w:pPr>
      <w:r>
        <w:rPr>
          <w:color w:val="595A5B" w:themeColor="text1"/>
          <w:szCs w:val="20"/>
        </w:rPr>
        <w:t>T</w:t>
      </w:r>
      <w:r w:rsidRPr="001F1F3C">
        <w:rPr>
          <w:color w:val="595A5B" w:themeColor="text1"/>
          <w:szCs w:val="20"/>
        </w:rPr>
        <w:t xml:space="preserve">he Australian economy grew by </w:t>
      </w:r>
      <w:r>
        <w:rPr>
          <w:color w:val="595A5B" w:themeColor="text1"/>
          <w:szCs w:val="20"/>
        </w:rPr>
        <w:t>2.0</w:t>
      </w:r>
      <w:r w:rsidRPr="001F1F3C">
        <w:rPr>
          <w:color w:val="595A5B" w:themeColor="text1"/>
          <w:szCs w:val="20"/>
        </w:rPr>
        <w:t xml:space="preserve"> per cent </w:t>
      </w:r>
      <w:r>
        <w:rPr>
          <w:color w:val="595A5B" w:themeColor="text1"/>
          <w:szCs w:val="20"/>
        </w:rPr>
        <w:t>i</w:t>
      </w:r>
      <w:r w:rsidRPr="005F5D85">
        <w:rPr>
          <w:color w:val="595A5B" w:themeColor="text1"/>
          <w:szCs w:val="20"/>
        </w:rPr>
        <w:t xml:space="preserve">n </w:t>
      </w:r>
      <w:r w:rsidRPr="00A727FB">
        <w:rPr>
          <w:color w:val="595A5B" w:themeColor="text1"/>
          <w:szCs w:val="20"/>
        </w:rPr>
        <w:t>2016–17</w:t>
      </w:r>
      <w:r w:rsidRPr="00B4039B">
        <w:rPr>
          <w:color w:val="595A5B" w:themeColor="text1"/>
          <w:szCs w:val="20"/>
        </w:rPr>
        <w:t xml:space="preserve"> </w:t>
      </w:r>
      <w:r w:rsidRPr="001F1F3C">
        <w:rPr>
          <w:color w:val="595A5B" w:themeColor="text1"/>
          <w:szCs w:val="20"/>
        </w:rPr>
        <w:t xml:space="preserve">to reach </w:t>
      </w:r>
      <w:r>
        <w:rPr>
          <w:color w:val="595A5B" w:themeColor="text1"/>
          <w:szCs w:val="20"/>
        </w:rPr>
        <w:t>$1.7 </w:t>
      </w:r>
      <w:r w:rsidRPr="001F1F3C">
        <w:rPr>
          <w:color w:val="595A5B" w:themeColor="text1"/>
          <w:szCs w:val="20"/>
        </w:rPr>
        <w:t>trillion</w:t>
      </w:r>
      <w:r w:rsidR="00E0188F">
        <w:rPr>
          <w:color w:val="595A5B" w:themeColor="text1"/>
          <w:szCs w:val="20"/>
        </w:rPr>
        <w:t>. P</w:t>
      </w:r>
      <w:r w:rsidRPr="001F1F3C">
        <w:rPr>
          <w:color w:val="595A5B" w:themeColor="text1"/>
          <w:szCs w:val="20"/>
        </w:rPr>
        <w:t>opulation grew by 1.</w:t>
      </w:r>
      <w:r>
        <w:rPr>
          <w:color w:val="595A5B" w:themeColor="text1"/>
          <w:szCs w:val="20"/>
        </w:rPr>
        <w:t>7</w:t>
      </w:r>
      <w:r w:rsidRPr="001F1F3C">
        <w:rPr>
          <w:color w:val="595A5B" w:themeColor="text1"/>
          <w:szCs w:val="20"/>
        </w:rPr>
        <w:t xml:space="preserve"> per cent to </w:t>
      </w:r>
      <w:r w:rsidR="00E0188F">
        <w:rPr>
          <w:color w:val="595A5B" w:themeColor="text1"/>
          <w:szCs w:val="20"/>
        </w:rPr>
        <w:t xml:space="preserve">reach </w:t>
      </w:r>
      <w:r w:rsidRPr="001F1F3C">
        <w:rPr>
          <w:color w:val="595A5B" w:themeColor="text1"/>
          <w:szCs w:val="20"/>
        </w:rPr>
        <w:t>2</w:t>
      </w:r>
      <w:r>
        <w:rPr>
          <w:color w:val="595A5B" w:themeColor="text1"/>
          <w:szCs w:val="20"/>
        </w:rPr>
        <w:t>4.6</w:t>
      </w:r>
      <w:r w:rsidRPr="001F1F3C">
        <w:rPr>
          <w:color w:val="595A5B" w:themeColor="text1"/>
          <w:szCs w:val="20"/>
        </w:rPr>
        <w:t xml:space="preserve"> million people.</w:t>
      </w:r>
    </w:p>
    <w:p w14:paraId="29C549C7" w14:textId="1945CE15" w:rsidR="00E44A38" w:rsidRPr="00E44A38" w:rsidRDefault="00B22F32" w:rsidP="001F4600">
      <w:pPr>
        <w:pStyle w:val="ListBullet"/>
        <w:numPr>
          <w:ilvl w:val="0"/>
          <w:numId w:val="4"/>
        </w:numPr>
        <w:rPr>
          <w:i/>
        </w:rPr>
      </w:pPr>
      <w:r>
        <w:rPr>
          <w:color w:val="595A5B" w:themeColor="text1"/>
          <w:szCs w:val="20"/>
        </w:rPr>
        <w:t>Australia’s</w:t>
      </w:r>
      <w:r w:rsidRPr="001F1F3C">
        <w:rPr>
          <w:color w:val="595A5B" w:themeColor="text1"/>
          <w:szCs w:val="20"/>
        </w:rPr>
        <w:t xml:space="preserve"> energy consumption rose by </w:t>
      </w:r>
      <w:r>
        <w:rPr>
          <w:color w:val="595A5B" w:themeColor="text1"/>
          <w:szCs w:val="20"/>
        </w:rPr>
        <w:t>1</w:t>
      </w:r>
      <w:r w:rsidR="00E44A38">
        <w:rPr>
          <w:color w:val="595A5B" w:themeColor="text1"/>
          <w:szCs w:val="20"/>
        </w:rPr>
        <w:t>.1</w:t>
      </w:r>
      <w:r w:rsidRPr="001F1F3C">
        <w:rPr>
          <w:color w:val="595A5B" w:themeColor="text1"/>
          <w:szCs w:val="20"/>
        </w:rPr>
        <w:t xml:space="preserve"> per cent in 2016–17 to </w:t>
      </w:r>
      <w:r w:rsidR="00954201">
        <w:rPr>
          <w:color w:val="595A5B" w:themeColor="text1"/>
          <w:szCs w:val="20"/>
        </w:rPr>
        <w:t xml:space="preserve">reach </w:t>
      </w:r>
      <w:r>
        <w:rPr>
          <w:color w:val="595A5B" w:themeColor="text1"/>
          <w:szCs w:val="20"/>
        </w:rPr>
        <w:t>6,14</w:t>
      </w:r>
      <w:r w:rsidR="0075424B">
        <w:rPr>
          <w:color w:val="595A5B" w:themeColor="text1"/>
          <w:szCs w:val="20"/>
        </w:rPr>
        <w:t>6</w:t>
      </w:r>
      <w:r>
        <w:rPr>
          <w:color w:val="595A5B" w:themeColor="text1"/>
          <w:szCs w:val="20"/>
        </w:rPr>
        <w:t> </w:t>
      </w:r>
      <w:r w:rsidRPr="001F1F3C">
        <w:rPr>
          <w:color w:val="595A5B" w:themeColor="text1"/>
          <w:szCs w:val="20"/>
        </w:rPr>
        <w:t>petajoules</w:t>
      </w:r>
      <w:r w:rsidRPr="000378B5">
        <w:rPr>
          <w:color w:val="595A5B" w:themeColor="text1"/>
          <w:szCs w:val="20"/>
        </w:rPr>
        <w:t xml:space="preserve">. This compares with average growth of </w:t>
      </w:r>
      <w:r>
        <w:rPr>
          <w:color w:val="595A5B" w:themeColor="text1"/>
          <w:szCs w:val="20"/>
        </w:rPr>
        <w:t>0.</w:t>
      </w:r>
      <w:r w:rsidR="0075424B">
        <w:rPr>
          <w:color w:val="595A5B" w:themeColor="text1"/>
          <w:szCs w:val="20"/>
        </w:rPr>
        <w:t>8</w:t>
      </w:r>
      <w:r w:rsidR="0075424B" w:rsidRPr="005F5D85">
        <w:rPr>
          <w:color w:val="595A5B" w:themeColor="text1"/>
          <w:szCs w:val="20"/>
        </w:rPr>
        <w:t xml:space="preserve"> </w:t>
      </w:r>
      <w:r w:rsidRPr="005F5D85">
        <w:rPr>
          <w:color w:val="595A5B" w:themeColor="text1"/>
          <w:szCs w:val="20"/>
        </w:rPr>
        <w:t xml:space="preserve">per cent a year over the past </w:t>
      </w:r>
      <w:r w:rsidR="00954201">
        <w:rPr>
          <w:color w:val="595A5B" w:themeColor="text1"/>
          <w:szCs w:val="20"/>
        </w:rPr>
        <w:t>ten years</w:t>
      </w:r>
      <w:r w:rsidRPr="005F5D85">
        <w:rPr>
          <w:color w:val="595A5B" w:themeColor="text1"/>
          <w:szCs w:val="20"/>
        </w:rPr>
        <w:t xml:space="preserve">. </w:t>
      </w:r>
      <w:r w:rsidR="004D4BEA">
        <w:rPr>
          <w:color w:val="595A5B" w:themeColor="text1"/>
          <w:szCs w:val="20"/>
        </w:rPr>
        <w:t xml:space="preserve">Growth in 2016–17 was 65 petajoules, </w:t>
      </w:r>
      <w:r w:rsidR="00954201">
        <w:rPr>
          <w:color w:val="595A5B" w:themeColor="text1"/>
          <w:szCs w:val="20"/>
        </w:rPr>
        <w:t>the same amount of energy from</w:t>
      </w:r>
      <w:r w:rsidR="004D4BEA">
        <w:rPr>
          <w:color w:val="595A5B" w:themeColor="text1"/>
          <w:szCs w:val="20"/>
        </w:rPr>
        <w:t xml:space="preserve"> filling a 55-litre tank</w:t>
      </w:r>
      <w:r w:rsidR="00954201">
        <w:rPr>
          <w:color w:val="595A5B" w:themeColor="text1"/>
          <w:szCs w:val="20"/>
        </w:rPr>
        <w:t xml:space="preserve"> of petrol</w:t>
      </w:r>
      <w:r w:rsidR="004D4BEA">
        <w:rPr>
          <w:color w:val="595A5B" w:themeColor="text1"/>
          <w:szCs w:val="20"/>
        </w:rPr>
        <w:t xml:space="preserve"> 34 million times.</w:t>
      </w:r>
    </w:p>
    <w:p w14:paraId="13A606E1" w14:textId="2B9BFA75" w:rsidR="0005162D" w:rsidRPr="00B22F32" w:rsidRDefault="0005162D" w:rsidP="0005162D">
      <w:pPr>
        <w:pStyle w:val="ListBullet"/>
        <w:numPr>
          <w:ilvl w:val="0"/>
          <w:numId w:val="4"/>
        </w:numPr>
      </w:pPr>
      <w:r w:rsidRPr="00B22F32">
        <w:t xml:space="preserve">Energy productivity (gross domestic product </w:t>
      </w:r>
      <w:r w:rsidR="00E0188F">
        <w:t xml:space="preserve">(GDP) </w:t>
      </w:r>
      <w:r w:rsidRPr="00B22F32">
        <w:t xml:space="preserve">divided by energy consumption) </w:t>
      </w:r>
      <w:r w:rsidR="00E44A38">
        <w:rPr>
          <w:color w:val="595A5B" w:themeColor="text1"/>
          <w:szCs w:val="20"/>
        </w:rPr>
        <w:t>improved</w:t>
      </w:r>
      <w:r w:rsidR="00B22F32" w:rsidRPr="00B22F32">
        <w:rPr>
          <w:color w:val="595A5B" w:themeColor="text1"/>
          <w:szCs w:val="20"/>
        </w:rPr>
        <w:t xml:space="preserve"> by 0.</w:t>
      </w:r>
      <w:r w:rsidR="0075424B">
        <w:rPr>
          <w:color w:val="595A5B" w:themeColor="text1"/>
          <w:szCs w:val="20"/>
        </w:rPr>
        <w:t>9</w:t>
      </w:r>
      <w:r w:rsidR="00B22F32" w:rsidRPr="00B22F32">
        <w:rPr>
          <w:color w:val="595A5B" w:themeColor="text1"/>
          <w:szCs w:val="20"/>
        </w:rPr>
        <w:t xml:space="preserve"> per cent</w:t>
      </w:r>
      <w:r w:rsidR="00B22F32" w:rsidRPr="00B22F32">
        <w:t xml:space="preserve"> </w:t>
      </w:r>
      <w:r w:rsidRPr="00B22F32">
        <w:t xml:space="preserve">in </w:t>
      </w:r>
      <w:r w:rsidR="003F2CCE" w:rsidRPr="00B22F32">
        <w:t>2016–17</w:t>
      </w:r>
      <w:r w:rsidRPr="00B22F32">
        <w:t xml:space="preserve">, </w:t>
      </w:r>
      <w:r w:rsidR="00E44A38">
        <w:t>and by 17</w:t>
      </w:r>
      <w:r w:rsidR="00954201">
        <w:t> </w:t>
      </w:r>
      <w:r w:rsidR="00E44A38">
        <w:t>per cent</w:t>
      </w:r>
      <w:r w:rsidRPr="00B22F32">
        <w:t xml:space="preserve"> over the past ten years. </w:t>
      </w:r>
      <w:r w:rsidR="004D4BEA">
        <w:t>Australia now creates $275 million in GDP for every petajoule of energy consumed, nearly $50 million more than a decade ago.</w:t>
      </w:r>
    </w:p>
    <w:p w14:paraId="5A740F71" w14:textId="28DA093D" w:rsidR="001F4600" w:rsidRPr="00082FE6" w:rsidRDefault="00954201" w:rsidP="00D6514B">
      <w:pPr>
        <w:pStyle w:val="ListBullet"/>
        <w:numPr>
          <w:ilvl w:val="0"/>
          <w:numId w:val="4"/>
        </w:numPr>
      </w:pPr>
      <w:r>
        <w:t>Most of the growth in e</w:t>
      </w:r>
      <w:r w:rsidRPr="00082FE6">
        <w:t xml:space="preserve">nergy use </w:t>
      </w:r>
      <w:r>
        <w:t xml:space="preserve">in </w:t>
      </w:r>
      <w:r w:rsidRPr="00082FE6">
        <w:t>2016–17</w:t>
      </w:r>
      <w:r>
        <w:t xml:space="preserve"> occurred in the mining sector, which</w:t>
      </w:r>
      <w:r w:rsidR="003323AF" w:rsidRPr="00082FE6">
        <w:t xml:space="preserve"> </w:t>
      </w:r>
      <w:r w:rsidR="0005162D" w:rsidRPr="00082FE6">
        <w:t>rose</w:t>
      </w:r>
      <w:r w:rsidR="003323AF" w:rsidRPr="00082FE6">
        <w:t xml:space="preserve"> by </w:t>
      </w:r>
      <w:r w:rsidR="00521F6B" w:rsidRPr="00082FE6">
        <w:t>12</w:t>
      </w:r>
      <w:r>
        <w:t xml:space="preserve"> per cent</w:t>
      </w:r>
      <w:r w:rsidR="00676721" w:rsidRPr="00082FE6">
        <w:t xml:space="preserve">, mainly </w:t>
      </w:r>
      <w:r w:rsidR="00E0188F">
        <w:t>because of</w:t>
      </w:r>
      <w:r w:rsidR="00676721" w:rsidRPr="00082FE6">
        <w:t xml:space="preserve"> </w:t>
      </w:r>
      <w:r w:rsidR="007B24F6" w:rsidRPr="00082FE6">
        <w:t>increa</w:t>
      </w:r>
      <w:r w:rsidR="0005162D" w:rsidRPr="00082FE6">
        <w:t>sed</w:t>
      </w:r>
      <w:r w:rsidR="007B24F6" w:rsidRPr="00082FE6">
        <w:t xml:space="preserve"> </w:t>
      </w:r>
      <w:r w:rsidR="0005162D" w:rsidRPr="00082FE6">
        <w:t xml:space="preserve">natural gas and </w:t>
      </w:r>
      <w:r w:rsidR="007B24F6" w:rsidRPr="00082FE6">
        <w:t xml:space="preserve">electricity consumption </w:t>
      </w:r>
      <w:r w:rsidR="005C43CA" w:rsidRPr="00082FE6">
        <w:t>to support</w:t>
      </w:r>
      <w:r w:rsidR="00CA31B7">
        <w:t xml:space="preserve"> liquefied natural gas</w:t>
      </w:r>
      <w:r w:rsidR="005C43CA" w:rsidRPr="00082FE6">
        <w:t xml:space="preserve"> </w:t>
      </w:r>
      <w:r w:rsidR="00CA31B7">
        <w:t>(</w:t>
      </w:r>
      <w:r w:rsidR="005C43CA" w:rsidRPr="00082FE6">
        <w:t>LNG</w:t>
      </w:r>
      <w:r w:rsidR="00CA31B7">
        <w:t>)</w:t>
      </w:r>
      <w:r w:rsidR="005C43CA" w:rsidRPr="00082FE6">
        <w:t xml:space="preserve"> exports</w:t>
      </w:r>
      <w:r w:rsidR="009F7C9E" w:rsidRPr="00082FE6">
        <w:t xml:space="preserve">. Energy </w:t>
      </w:r>
      <w:r w:rsidR="00647C6D" w:rsidRPr="00082FE6">
        <w:t>use</w:t>
      </w:r>
      <w:r>
        <w:t xml:space="preserve"> also increased</w:t>
      </w:r>
      <w:r w:rsidR="009F7C9E" w:rsidRPr="00082FE6">
        <w:t xml:space="preserve"> </w:t>
      </w:r>
      <w:r w:rsidR="00647C6D" w:rsidRPr="00082FE6">
        <w:t xml:space="preserve">in other parts of the </w:t>
      </w:r>
      <w:r w:rsidR="00CA31B7">
        <w:t xml:space="preserve">mining </w:t>
      </w:r>
      <w:r w:rsidR="00647C6D" w:rsidRPr="00082FE6">
        <w:t>sector</w:t>
      </w:r>
      <w:r w:rsidR="00676721" w:rsidRPr="00082FE6">
        <w:t>.</w:t>
      </w:r>
      <w:r w:rsidR="001F4600" w:rsidRPr="00082FE6">
        <w:t xml:space="preserve"> </w:t>
      </w:r>
    </w:p>
    <w:p w14:paraId="5AE82C33" w14:textId="6145BCDF" w:rsidR="00344000" w:rsidRPr="00967C04" w:rsidRDefault="00591D20" w:rsidP="00344000">
      <w:pPr>
        <w:pStyle w:val="ListBullet"/>
      </w:pPr>
      <w:r w:rsidRPr="00082FE6">
        <w:t>Transport</w:t>
      </w:r>
      <w:r>
        <w:t xml:space="preserve"> use grew </w:t>
      </w:r>
      <w:r w:rsidRPr="00082FE6">
        <w:t xml:space="preserve">by </w:t>
      </w:r>
      <w:r>
        <w:t>3</w:t>
      </w:r>
      <w:r w:rsidRPr="00082FE6">
        <w:t xml:space="preserve"> per cent in 2016–17</w:t>
      </w:r>
      <w:r>
        <w:t xml:space="preserve">, underpinned by </w:t>
      </w:r>
      <w:r w:rsidR="003A6DCE">
        <w:t>higher</w:t>
      </w:r>
      <w:r>
        <w:t xml:space="preserve"> diesel use in passenger and freight transport and increased use of aviation fuel</w:t>
      </w:r>
      <w:r w:rsidRPr="00082FE6">
        <w:t xml:space="preserve">. </w:t>
      </w:r>
      <w:r w:rsidR="00344000">
        <w:t xml:space="preserve">Total refined product consumption increased by 2 per cent in 2016–17, and is now nearly three times larger than </w:t>
      </w:r>
      <w:r w:rsidR="00E0188F">
        <w:t>total</w:t>
      </w:r>
      <w:r w:rsidR="00344000">
        <w:t xml:space="preserve"> electricity consumption.</w:t>
      </w:r>
    </w:p>
    <w:p w14:paraId="3F1DB921" w14:textId="39148607" w:rsidR="001D51D7" w:rsidRPr="001F1F3C" w:rsidRDefault="001D51D7" w:rsidP="001D51D7">
      <w:pPr>
        <w:pStyle w:val="ListBullet"/>
      </w:pPr>
      <w:r w:rsidRPr="001F1F3C">
        <w:t xml:space="preserve">Energy </w:t>
      </w:r>
      <w:r>
        <w:t xml:space="preserve">use for electricity generation </w:t>
      </w:r>
      <w:r w:rsidR="00591D20">
        <w:t>fell</w:t>
      </w:r>
      <w:r>
        <w:t xml:space="preserve"> </w:t>
      </w:r>
      <w:r w:rsidRPr="001F1F3C">
        <w:t xml:space="preserve">by </w:t>
      </w:r>
      <w:r>
        <w:t>2</w:t>
      </w:r>
      <w:r w:rsidRPr="001F1F3C">
        <w:t xml:space="preserve"> per cent </w:t>
      </w:r>
      <w:r w:rsidR="00591D20">
        <w:t xml:space="preserve">in 2016–17 despite a slight increase in electricity output, </w:t>
      </w:r>
      <w:r>
        <w:t xml:space="preserve">due to reduced brown coal </w:t>
      </w:r>
      <w:r w:rsidR="00981F9B">
        <w:t>use</w:t>
      </w:r>
      <w:r w:rsidRPr="001F1F3C">
        <w:t xml:space="preserve"> </w:t>
      </w:r>
      <w:r>
        <w:t>and an increase in renewable generation.</w:t>
      </w:r>
    </w:p>
    <w:p w14:paraId="18E27E1E" w14:textId="60BF258E" w:rsidR="001F4600" w:rsidRPr="00123630" w:rsidRDefault="001F4600" w:rsidP="001F4600">
      <w:pPr>
        <w:pStyle w:val="ListBullet"/>
        <w:numPr>
          <w:ilvl w:val="0"/>
          <w:numId w:val="4"/>
        </w:numPr>
        <w:rPr>
          <w:i/>
        </w:rPr>
      </w:pPr>
      <w:r w:rsidRPr="00082FE6">
        <w:t xml:space="preserve">Energy </w:t>
      </w:r>
      <w:r w:rsidR="00676721" w:rsidRPr="00082FE6">
        <w:t xml:space="preserve">use in </w:t>
      </w:r>
      <w:r w:rsidRPr="00082FE6">
        <w:t xml:space="preserve">manufacturing </w:t>
      </w:r>
      <w:r w:rsidR="00676721" w:rsidRPr="00082FE6">
        <w:t>cont</w:t>
      </w:r>
      <w:r w:rsidR="00FF6BB5" w:rsidRPr="00082FE6">
        <w:t>inued</w:t>
      </w:r>
      <w:r w:rsidR="00676721" w:rsidRPr="00082FE6">
        <w:t xml:space="preserve"> </w:t>
      </w:r>
      <w:r w:rsidR="00981F9B">
        <w:t>to fall, by</w:t>
      </w:r>
      <w:r w:rsidR="00FF6BB5" w:rsidRPr="00082FE6">
        <w:t xml:space="preserve"> 2 per cent </w:t>
      </w:r>
      <w:r w:rsidR="009F7C9E" w:rsidRPr="00082FE6">
        <w:t xml:space="preserve">in </w:t>
      </w:r>
      <w:r w:rsidR="003F2CCE" w:rsidRPr="00082FE6">
        <w:t>2016–17</w:t>
      </w:r>
      <w:r w:rsidR="004137CE" w:rsidRPr="00082FE6">
        <w:t>,</w:t>
      </w:r>
      <w:r w:rsidR="009F7C9E" w:rsidRPr="00082FE6">
        <w:t xml:space="preserve"> </w:t>
      </w:r>
      <w:r w:rsidR="00BC574B" w:rsidRPr="00082FE6">
        <w:t xml:space="preserve">with </w:t>
      </w:r>
      <w:r w:rsidR="001D51D7" w:rsidRPr="00082FE6">
        <w:t>the largest declines occurring in chemicals and non-fe</w:t>
      </w:r>
      <w:r w:rsidR="004241EB">
        <w:t>r</w:t>
      </w:r>
      <w:r w:rsidR="001D51D7" w:rsidRPr="00082FE6">
        <w:t>rous metals manufacturing</w:t>
      </w:r>
      <w:r w:rsidR="001D51D7">
        <w:t xml:space="preserve"> sectors</w:t>
      </w:r>
      <w:r w:rsidR="001D51D7" w:rsidRPr="00082FE6">
        <w:t>, both a result of reduced activity</w:t>
      </w:r>
      <w:r w:rsidR="001D51D7">
        <w:t>.</w:t>
      </w:r>
      <w:r w:rsidR="004137CE" w:rsidRPr="00123630">
        <w:rPr>
          <w:i/>
        </w:rPr>
        <w:t xml:space="preserve"> </w:t>
      </w:r>
    </w:p>
    <w:p w14:paraId="43CEC7F3" w14:textId="58483454" w:rsidR="001F4600" w:rsidRPr="00082FE6" w:rsidRDefault="00E010CD" w:rsidP="00E76F4A">
      <w:pPr>
        <w:pStyle w:val="ListBullet"/>
        <w:numPr>
          <w:ilvl w:val="0"/>
          <w:numId w:val="4"/>
        </w:numPr>
      </w:pPr>
      <w:r w:rsidRPr="001F1F3C">
        <w:t>Oil</w:t>
      </w:r>
      <w:r w:rsidR="00981F9B">
        <w:t xml:space="preserve"> </w:t>
      </w:r>
      <w:r w:rsidRPr="001F1F3C">
        <w:t>accounted for th</w:t>
      </w:r>
      <w:r w:rsidR="00E0188F">
        <w:t>e largest share of Australia’s</w:t>
      </w:r>
      <w:r w:rsidRPr="001F1F3C">
        <w:t xml:space="preserve"> </w:t>
      </w:r>
      <w:r w:rsidR="00981F9B">
        <w:t>primary energy mix</w:t>
      </w:r>
      <w:r w:rsidR="00E76F4A">
        <w:t xml:space="preserve"> in 2016–17</w:t>
      </w:r>
      <w:r w:rsidRPr="001F1F3C">
        <w:t>, at 3</w:t>
      </w:r>
      <w:r>
        <w:t>8</w:t>
      </w:r>
      <w:r w:rsidR="00981F9B">
        <w:t> </w:t>
      </w:r>
      <w:r w:rsidRPr="00A727FB">
        <w:t>per cent</w:t>
      </w:r>
      <w:r w:rsidR="00E76F4A">
        <w:t>, followed by</w:t>
      </w:r>
      <w:r>
        <w:t xml:space="preserve"> </w:t>
      </w:r>
      <w:r w:rsidR="00E76F4A">
        <w:t>c</w:t>
      </w:r>
      <w:r>
        <w:t xml:space="preserve">oal </w:t>
      </w:r>
      <w:r w:rsidR="00E76F4A">
        <w:t>(</w:t>
      </w:r>
      <w:r w:rsidR="00F3483E" w:rsidRPr="00E010CD">
        <w:t>32 per cent</w:t>
      </w:r>
      <w:r w:rsidR="00E76F4A">
        <w:t>)</w:t>
      </w:r>
      <w:r w:rsidR="00D22D0F">
        <w:t xml:space="preserve"> and</w:t>
      </w:r>
      <w:r w:rsidR="004241EB" w:rsidRPr="0051400D">
        <w:t xml:space="preserve"> </w:t>
      </w:r>
      <w:r w:rsidR="00F3483E" w:rsidRPr="0051400D">
        <w:t xml:space="preserve">natural gas </w:t>
      </w:r>
      <w:r w:rsidR="00E76F4A">
        <w:t>(</w:t>
      </w:r>
      <w:r w:rsidR="00860C4F">
        <w:t>25 per </w:t>
      </w:r>
      <w:r w:rsidR="00F3483E" w:rsidRPr="0051400D">
        <w:t>cent</w:t>
      </w:r>
      <w:r w:rsidR="00E76F4A">
        <w:t>)</w:t>
      </w:r>
      <w:r w:rsidR="00D22D0F">
        <w:t>.</w:t>
      </w:r>
      <w:r w:rsidR="00F3483E" w:rsidRPr="0051400D">
        <w:t xml:space="preserve"> </w:t>
      </w:r>
      <w:r w:rsidR="00D22D0F">
        <w:t>R</w:t>
      </w:r>
      <w:r w:rsidR="001F4600" w:rsidRPr="0051400D">
        <w:t>enewable</w:t>
      </w:r>
      <w:r w:rsidR="00D22D0F">
        <w:t xml:space="preserve"> energy sources</w:t>
      </w:r>
      <w:r w:rsidR="001F4600" w:rsidRPr="0051400D">
        <w:t xml:space="preserve"> </w:t>
      </w:r>
      <w:r w:rsidR="00D22D0F">
        <w:t xml:space="preserve">accounted for </w:t>
      </w:r>
      <w:r w:rsidR="00F3483E" w:rsidRPr="0051400D">
        <w:t>6 per cent</w:t>
      </w:r>
      <w:r w:rsidR="001F4600" w:rsidRPr="0051400D">
        <w:t>.</w:t>
      </w:r>
      <w:r w:rsidR="00BC574B" w:rsidRPr="00082FE6">
        <w:t xml:space="preserve"> </w:t>
      </w:r>
    </w:p>
    <w:p w14:paraId="6ED97F4E" w14:textId="64C1654C" w:rsidR="001F4600" w:rsidRPr="00082FE6" w:rsidRDefault="009F7C9E" w:rsidP="001F4600">
      <w:pPr>
        <w:pStyle w:val="ListBullet"/>
        <w:numPr>
          <w:ilvl w:val="0"/>
          <w:numId w:val="4"/>
        </w:numPr>
      </w:pPr>
      <w:r w:rsidRPr="00082FE6">
        <w:t xml:space="preserve">Coal </w:t>
      </w:r>
      <w:r w:rsidR="002472D3">
        <w:t>use</w:t>
      </w:r>
      <w:r w:rsidRPr="00082FE6">
        <w:t xml:space="preserve"> </w:t>
      </w:r>
      <w:r w:rsidR="00E76F4A">
        <w:t>fell</w:t>
      </w:r>
      <w:r w:rsidR="004241EB" w:rsidRPr="00082FE6">
        <w:t xml:space="preserve"> by</w:t>
      </w:r>
      <w:r w:rsidRPr="00082FE6">
        <w:t xml:space="preserve"> </w:t>
      </w:r>
      <w:r w:rsidR="004241EB" w:rsidRPr="00082FE6">
        <w:t>1</w:t>
      </w:r>
      <w:r w:rsidRPr="00082FE6">
        <w:t xml:space="preserve"> per cent in </w:t>
      </w:r>
      <w:r w:rsidR="003F2CCE" w:rsidRPr="00082FE6">
        <w:t>2016–17</w:t>
      </w:r>
      <w:r w:rsidR="001F4600" w:rsidRPr="00082FE6">
        <w:t xml:space="preserve">, </w:t>
      </w:r>
      <w:r w:rsidR="004241EB" w:rsidRPr="00082FE6">
        <w:t>and was 18</w:t>
      </w:r>
      <w:r w:rsidR="001F4600" w:rsidRPr="00082FE6">
        <w:t xml:space="preserve"> per cent </w:t>
      </w:r>
      <w:r w:rsidRPr="00082FE6">
        <w:t>below</w:t>
      </w:r>
      <w:r w:rsidR="00ED59DB" w:rsidRPr="00082FE6">
        <w:t xml:space="preserve"> </w:t>
      </w:r>
      <w:r w:rsidR="00E76F4A">
        <w:t>its</w:t>
      </w:r>
      <w:r w:rsidR="001F4600" w:rsidRPr="00082FE6">
        <w:t xml:space="preserve"> peak </w:t>
      </w:r>
      <w:r w:rsidR="005C43CA" w:rsidRPr="00082FE6">
        <w:t>in</w:t>
      </w:r>
      <w:r w:rsidR="00ED59DB" w:rsidRPr="00082FE6">
        <w:t xml:space="preserve"> </w:t>
      </w:r>
      <w:r w:rsidR="001F4600" w:rsidRPr="00082FE6">
        <w:t xml:space="preserve">2008–09. </w:t>
      </w:r>
      <w:r w:rsidR="00D22D0F">
        <w:t>I</w:t>
      </w:r>
      <w:r w:rsidR="00E76F4A">
        <w:t>ncrease</w:t>
      </w:r>
      <w:r w:rsidR="00D22D0F">
        <w:t xml:space="preserve">d </w:t>
      </w:r>
      <w:r w:rsidR="00E76F4A">
        <w:t xml:space="preserve">black coal use </w:t>
      </w:r>
      <w:r w:rsidR="004241EB" w:rsidRPr="00082FE6">
        <w:t xml:space="preserve">was offset by </w:t>
      </w:r>
      <w:r w:rsidR="002472D3">
        <w:t>lower</w:t>
      </w:r>
      <w:r w:rsidR="004241EB" w:rsidRPr="00082FE6">
        <w:t xml:space="preserve"> brown coal </w:t>
      </w:r>
      <w:r w:rsidR="00E0095B" w:rsidRPr="00082FE6">
        <w:t>consumption</w:t>
      </w:r>
      <w:r w:rsidR="00D92A82">
        <w:t xml:space="preserve"> </w:t>
      </w:r>
      <w:r w:rsidR="002472D3">
        <w:t>after</w:t>
      </w:r>
      <w:r w:rsidR="00D92A82">
        <w:t xml:space="preserve"> the closure of</w:t>
      </w:r>
      <w:r w:rsidR="00E0188F">
        <w:t xml:space="preserve"> </w:t>
      </w:r>
      <w:r w:rsidR="00D92A82">
        <w:t>Hazelwood</w:t>
      </w:r>
      <w:r w:rsidR="00632B3C">
        <w:t xml:space="preserve"> and Northern power station</w:t>
      </w:r>
      <w:r w:rsidR="00E0188F">
        <w:t>s</w:t>
      </w:r>
      <w:r w:rsidR="009D5B04" w:rsidRPr="00082FE6">
        <w:t>.</w:t>
      </w:r>
    </w:p>
    <w:p w14:paraId="28F5BEDC" w14:textId="48B7BB55" w:rsidR="00BC574B" w:rsidRPr="00082FE6" w:rsidRDefault="00BC574B" w:rsidP="004137CE">
      <w:pPr>
        <w:pStyle w:val="ListBullet"/>
        <w:numPr>
          <w:ilvl w:val="0"/>
          <w:numId w:val="4"/>
        </w:numPr>
      </w:pPr>
      <w:r w:rsidRPr="00082FE6">
        <w:t>N</w:t>
      </w:r>
      <w:r w:rsidR="009F7C9E" w:rsidRPr="00082FE6">
        <w:t xml:space="preserve">atural </w:t>
      </w:r>
      <w:r w:rsidR="001F4600" w:rsidRPr="00082FE6">
        <w:t xml:space="preserve">gas </w:t>
      </w:r>
      <w:r w:rsidRPr="00082FE6">
        <w:t xml:space="preserve">consumption </w:t>
      </w:r>
      <w:r w:rsidR="001F4600" w:rsidRPr="00082FE6">
        <w:t xml:space="preserve">grew by </w:t>
      </w:r>
      <w:r w:rsidR="004241EB" w:rsidRPr="00082FE6">
        <w:t>1</w:t>
      </w:r>
      <w:r w:rsidR="009F7C9E" w:rsidRPr="00082FE6">
        <w:t xml:space="preserve"> per cent in </w:t>
      </w:r>
      <w:r w:rsidR="003F2CCE" w:rsidRPr="00082FE6">
        <w:t>2016–17</w:t>
      </w:r>
      <w:r w:rsidRPr="00082FE6">
        <w:t xml:space="preserve">. </w:t>
      </w:r>
      <w:r w:rsidR="009D5B04" w:rsidRPr="00082FE6">
        <w:t>Gas use</w:t>
      </w:r>
      <w:r w:rsidR="004241EB">
        <w:t xml:space="preserve"> in </w:t>
      </w:r>
      <w:r w:rsidR="00D92A82">
        <w:t>LNG</w:t>
      </w:r>
      <w:r w:rsidR="004241EB">
        <w:t xml:space="preserve"> plants increased commensurate with higher output, but gas </w:t>
      </w:r>
      <w:r w:rsidR="004241EB" w:rsidRPr="0051400D">
        <w:t xml:space="preserve">use in most parts of the </w:t>
      </w:r>
      <w:r w:rsidR="009D5B04" w:rsidRPr="00082FE6">
        <w:t xml:space="preserve">manufacturing </w:t>
      </w:r>
      <w:r w:rsidR="004241EB" w:rsidRPr="0051400D">
        <w:t xml:space="preserve">sector </w:t>
      </w:r>
      <w:r w:rsidR="009D5B04" w:rsidRPr="00082FE6">
        <w:t xml:space="preserve">fell in </w:t>
      </w:r>
      <w:r w:rsidR="003F2CCE" w:rsidRPr="00082FE6">
        <w:t>2016–17</w:t>
      </w:r>
      <w:r w:rsidR="009D5B04" w:rsidRPr="00082FE6">
        <w:t>.</w:t>
      </w:r>
    </w:p>
    <w:p w14:paraId="1B17A1BB" w14:textId="77777777" w:rsidR="00D92A82" w:rsidRDefault="00BC574B" w:rsidP="00D92A82">
      <w:pPr>
        <w:pStyle w:val="ListBullet"/>
        <w:numPr>
          <w:ilvl w:val="0"/>
          <w:numId w:val="4"/>
        </w:numPr>
      </w:pPr>
      <w:r w:rsidRPr="00082FE6">
        <w:t>R</w:t>
      </w:r>
      <w:r w:rsidR="005C43CA" w:rsidRPr="00082FE6">
        <w:t xml:space="preserve">enewable energy </w:t>
      </w:r>
      <w:r w:rsidRPr="00082FE6">
        <w:t xml:space="preserve">consumption grew by </w:t>
      </w:r>
      <w:r w:rsidR="00183AD6" w:rsidRPr="00082FE6">
        <w:t xml:space="preserve">5 </w:t>
      </w:r>
      <w:r w:rsidRPr="00082FE6">
        <w:t xml:space="preserve">per cent in </w:t>
      </w:r>
      <w:r w:rsidR="003F2CCE" w:rsidRPr="00082FE6">
        <w:t>2016–17</w:t>
      </w:r>
      <w:r w:rsidRPr="00082FE6">
        <w:t xml:space="preserve">. </w:t>
      </w:r>
      <w:r w:rsidR="00F533C0">
        <w:t>The growth was largely driven by bagasse, solar and hydro energy.</w:t>
      </w:r>
      <w:r w:rsidR="00D92A82" w:rsidRPr="00D92A82">
        <w:t xml:space="preserve"> </w:t>
      </w:r>
    </w:p>
    <w:p w14:paraId="1E133C47" w14:textId="12B2807F" w:rsidR="001F4600" w:rsidRPr="001F1F3C" w:rsidRDefault="001F4600" w:rsidP="00082FE6">
      <w:pPr>
        <w:pStyle w:val="Heading2"/>
        <w:numPr>
          <w:ilvl w:val="0"/>
          <w:numId w:val="0"/>
        </w:numPr>
        <w:ind w:left="709" w:hanging="709"/>
      </w:pPr>
      <w:bookmarkStart w:id="12" w:name="_Toc428130024"/>
      <w:bookmarkStart w:id="13" w:name="_Toc492240071"/>
      <w:bookmarkStart w:id="14" w:name="_Toc521337531"/>
      <w:bookmarkStart w:id="15" w:name="_Toc521337646"/>
      <w:bookmarkStart w:id="16" w:name="_Toc522197016"/>
      <w:bookmarkStart w:id="17" w:name="_Toc522200462"/>
      <w:bookmarkStart w:id="18" w:name="_Toc522633180"/>
      <w:r w:rsidRPr="001F1F3C">
        <w:t>Energy production</w:t>
      </w:r>
      <w:bookmarkEnd w:id="12"/>
      <w:bookmarkEnd w:id="13"/>
      <w:bookmarkEnd w:id="14"/>
      <w:bookmarkEnd w:id="15"/>
      <w:bookmarkEnd w:id="16"/>
      <w:bookmarkEnd w:id="17"/>
      <w:bookmarkEnd w:id="18"/>
    </w:p>
    <w:p w14:paraId="62FC1F5F" w14:textId="6A57F1AB" w:rsidR="001F4600" w:rsidRPr="00082FE6" w:rsidRDefault="001F4600" w:rsidP="001F4600">
      <w:pPr>
        <w:pStyle w:val="ListBullet"/>
        <w:numPr>
          <w:ilvl w:val="0"/>
          <w:numId w:val="4"/>
        </w:numPr>
      </w:pPr>
      <w:r w:rsidRPr="00082FE6">
        <w:t xml:space="preserve">Energy production rose by </w:t>
      </w:r>
      <w:r w:rsidR="00F533C0" w:rsidRPr="00082FE6">
        <w:t>4</w:t>
      </w:r>
      <w:r w:rsidRPr="00082FE6">
        <w:t xml:space="preserve"> per cent in </w:t>
      </w:r>
      <w:r w:rsidR="003F2CCE" w:rsidRPr="00082FE6">
        <w:t>2016–17</w:t>
      </w:r>
      <w:r w:rsidRPr="00082FE6">
        <w:t xml:space="preserve"> to </w:t>
      </w:r>
      <w:r w:rsidR="00EE0397" w:rsidRPr="00082FE6">
        <w:t>17</w:t>
      </w:r>
      <w:r w:rsidRPr="00082FE6">
        <w:t>,</w:t>
      </w:r>
      <w:r w:rsidR="000441D1">
        <w:t>957</w:t>
      </w:r>
      <w:r w:rsidRPr="00082FE6">
        <w:t xml:space="preserve"> petajoules</w:t>
      </w:r>
      <w:r w:rsidR="001150BE" w:rsidRPr="00082FE6">
        <w:t xml:space="preserve">, </w:t>
      </w:r>
      <w:r w:rsidR="00F533C0">
        <w:t xml:space="preserve">primarily as </w:t>
      </w:r>
      <w:r w:rsidR="001150BE" w:rsidRPr="00082FE6">
        <w:t xml:space="preserve">a result of increased </w:t>
      </w:r>
      <w:r w:rsidR="00D22D0F">
        <w:t xml:space="preserve">natural </w:t>
      </w:r>
      <w:r w:rsidR="001150BE" w:rsidRPr="00082FE6">
        <w:t>gas production</w:t>
      </w:r>
      <w:r w:rsidR="00E0188F">
        <w:t>. This</w:t>
      </w:r>
      <w:r w:rsidR="00F533C0">
        <w:t xml:space="preserve"> outweig</w:t>
      </w:r>
      <w:r w:rsidR="00DB1F2E">
        <w:t>h</w:t>
      </w:r>
      <w:r w:rsidR="00344000">
        <w:t>ed</w:t>
      </w:r>
      <w:r w:rsidR="00F533C0">
        <w:t xml:space="preserve"> </w:t>
      </w:r>
      <w:r w:rsidR="00344000">
        <w:t xml:space="preserve">a fall </w:t>
      </w:r>
      <w:r w:rsidR="00F533C0">
        <w:t>in oil and brown coal</w:t>
      </w:r>
      <w:r w:rsidR="00344000">
        <w:t xml:space="preserve"> production</w:t>
      </w:r>
      <w:r w:rsidR="003006C7" w:rsidRPr="00082FE6">
        <w:t xml:space="preserve">. </w:t>
      </w:r>
    </w:p>
    <w:p w14:paraId="7D4C6676" w14:textId="4FB20A22" w:rsidR="001150BE" w:rsidRPr="00082FE6" w:rsidRDefault="001150BE" w:rsidP="001150BE">
      <w:pPr>
        <w:pStyle w:val="ListBullet"/>
        <w:numPr>
          <w:ilvl w:val="0"/>
          <w:numId w:val="4"/>
        </w:numPr>
        <w:rPr>
          <w:rFonts w:eastAsia="Arial" w:cs="Times New Roman"/>
          <w:lang w:val="en"/>
        </w:rPr>
      </w:pPr>
      <w:r w:rsidRPr="00082FE6">
        <w:rPr>
          <w:rFonts w:eastAsia="Arial" w:cs="Times New Roman"/>
          <w:lang w:val="en"/>
        </w:rPr>
        <w:t>Natural gas production grew by 2</w:t>
      </w:r>
      <w:r w:rsidR="00F533C0">
        <w:rPr>
          <w:rFonts w:eastAsia="Arial" w:cs="Times New Roman"/>
          <w:lang w:val="en"/>
        </w:rPr>
        <w:t>3</w:t>
      </w:r>
      <w:r w:rsidRPr="00082FE6">
        <w:rPr>
          <w:rFonts w:eastAsia="Arial" w:cs="Times New Roman"/>
          <w:lang w:val="en"/>
        </w:rPr>
        <w:t xml:space="preserve"> per cent</w:t>
      </w:r>
      <w:r w:rsidR="00E0188F">
        <w:rPr>
          <w:rFonts w:eastAsia="Arial" w:cs="Times New Roman"/>
          <w:lang w:val="en"/>
        </w:rPr>
        <w:t xml:space="preserve"> in 2016–17</w:t>
      </w:r>
      <w:r w:rsidRPr="00082FE6">
        <w:rPr>
          <w:rFonts w:eastAsia="Arial" w:cs="Times New Roman"/>
          <w:lang w:val="en"/>
        </w:rPr>
        <w:t>, underpinned by increased coal seam gas (CSG) production in Queensland</w:t>
      </w:r>
      <w:r w:rsidR="00344000">
        <w:rPr>
          <w:rFonts w:eastAsia="Arial" w:cs="Times New Roman"/>
          <w:lang w:val="en"/>
        </w:rPr>
        <w:t xml:space="preserve"> for LNG exports</w:t>
      </w:r>
      <w:r w:rsidRPr="00082FE6">
        <w:rPr>
          <w:rFonts w:eastAsia="Arial" w:cs="Times New Roman"/>
          <w:lang w:val="en"/>
        </w:rPr>
        <w:t xml:space="preserve">. </w:t>
      </w:r>
      <w:r w:rsidR="00F533C0" w:rsidRPr="001F1F3C">
        <w:t xml:space="preserve">Coal seam gas accounted for </w:t>
      </w:r>
      <w:r w:rsidR="00344000">
        <w:t>one-third</w:t>
      </w:r>
      <w:r w:rsidR="00F533C0" w:rsidRPr="001F1F3C">
        <w:t xml:space="preserve"> of Australian gas production and </w:t>
      </w:r>
      <w:r w:rsidR="00344000">
        <w:t>nearly two-thirds of</w:t>
      </w:r>
      <w:r w:rsidR="00F533C0">
        <w:t xml:space="preserve"> east coast gas production</w:t>
      </w:r>
      <w:r w:rsidR="00D92A82">
        <w:t xml:space="preserve"> in 2016–17</w:t>
      </w:r>
      <w:r w:rsidR="00F533C0" w:rsidRPr="001F1F3C">
        <w:t>.</w:t>
      </w:r>
      <w:r w:rsidRPr="00082FE6">
        <w:rPr>
          <w:rFonts w:eastAsia="Arial" w:cs="Times New Roman"/>
          <w:lang w:val="en"/>
        </w:rPr>
        <w:t xml:space="preserve"> </w:t>
      </w:r>
    </w:p>
    <w:p w14:paraId="7703ACBB" w14:textId="794ECBEC" w:rsidR="001F4600" w:rsidRPr="00082FE6" w:rsidRDefault="001F4600" w:rsidP="001F4600">
      <w:pPr>
        <w:pStyle w:val="ListBullet"/>
        <w:numPr>
          <w:ilvl w:val="0"/>
          <w:numId w:val="4"/>
        </w:numPr>
        <w:rPr>
          <w:rFonts w:eastAsia="Arial" w:cs="Times New Roman"/>
          <w:lang w:val="en"/>
        </w:rPr>
      </w:pPr>
      <w:r w:rsidRPr="00082FE6">
        <w:lastRenderedPageBreak/>
        <w:t xml:space="preserve">Black coal production </w:t>
      </w:r>
      <w:r w:rsidR="00F533C0" w:rsidRPr="00082FE6">
        <w:t xml:space="preserve">was </w:t>
      </w:r>
      <w:r w:rsidR="00344000">
        <w:t xml:space="preserve">relatively </w:t>
      </w:r>
      <w:r w:rsidR="00F533C0" w:rsidRPr="00082FE6">
        <w:t>steady</w:t>
      </w:r>
      <w:r w:rsidR="00344000">
        <w:t>,</w:t>
      </w:r>
      <w:r w:rsidR="00F533C0" w:rsidRPr="00082FE6">
        <w:t xml:space="preserve"> </w:t>
      </w:r>
      <w:r w:rsidR="00D94BFB" w:rsidRPr="00082FE6">
        <w:t>while</w:t>
      </w:r>
      <w:r w:rsidR="001150BE" w:rsidRPr="00082FE6">
        <w:t xml:space="preserve"> </w:t>
      </w:r>
      <w:r w:rsidR="00D94BFB" w:rsidRPr="00082FE6">
        <w:t>b</w:t>
      </w:r>
      <w:r w:rsidR="00EE0397" w:rsidRPr="00082FE6">
        <w:rPr>
          <w:rFonts w:eastAsia="Arial" w:cs="Times New Roman"/>
          <w:lang w:val="en"/>
        </w:rPr>
        <w:t xml:space="preserve">rown coal </w:t>
      </w:r>
      <w:r w:rsidR="00344000">
        <w:rPr>
          <w:rFonts w:eastAsia="Arial" w:cs="Times New Roman"/>
          <w:lang w:val="en"/>
        </w:rPr>
        <w:t>output</w:t>
      </w:r>
      <w:r w:rsidR="00EE0397" w:rsidRPr="00082FE6">
        <w:rPr>
          <w:rFonts w:eastAsia="Arial" w:cs="Times New Roman"/>
          <w:lang w:val="en"/>
        </w:rPr>
        <w:t xml:space="preserve"> </w:t>
      </w:r>
      <w:r w:rsidR="00344000">
        <w:rPr>
          <w:rFonts w:eastAsia="Arial" w:cs="Times New Roman"/>
          <w:lang w:val="en"/>
        </w:rPr>
        <w:t>fell</w:t>
      </w:r>
      <w:r w:rsidR="003006C7" w:rsidRPr="00082FE6">
        <w:rPr>
          <w:rFonts w:eastAsia="Arial" w:cs="Times New Roman"/>
          <w:lang w:val="en"/>
        </w:rPr>
        <w:t xml:space="preserve"> by </w:t>
      </w:r>
      <w:r w:rsidR="00F533C0" w:rsidRPr="00082FE6">
        <w:rPr>
          <w:rFonts w:eastAsia="Arial" w:cs="Times New Roman"/>
          <w:lang w:val="en"/>
        </w:rPr>
        <w:t xml:space="preserve">8 </w:t>
      </w:r>
      <w:r w:rsidR="003006C7" w:rsidRPr="00082FE6">
        <w:rPr>
          <w:rFonts w:eastAsia="Arial" w:cs="Times New Roman"/>
          <w:lang w:val="en"/>
        </w:rPr>
        <w:t>per cent</w:t>
      </w:r>
      <w:r w:rsidR="00344000">
        <w:rPr>
          <w:rFonts w:eastAsia="Arial" w:cs="Times New Roman"/>
          <w:lang w:val="en"/>
        </w:rPr>
        <w:t>, reflecting les</w:t>
      </w:r>
      <w:r w:rsidR="00E0188F">
        <w:rPr>
          <w:rFonts w:eastAsia="Arial" w:cs="Times New Roman"/>
          <w:lang w:val="en"/>
        </w:rPr>
        <w:t>s demand for brown coal-</w:t>
      </w:r>
      <w:r w:rsidR="00344000">
        <w:rPr>
          <w:rFonts w:eastAsia="Arial" w:cs="Times New Roman"/>
          <w:lang w:val="en"/>
        </w:rPr>
        <w:t>fired electricity</w:t>
      </w:r>
      <w:r w:rsidR="00EE0397" w:rsidRPr="00082FE6">
        <w:rPr>
          <w:rFonts w:eastAsia="Arial" w:cs="Times New Roman"/>
          <w:lang w:val="en"/>
        </w:rPr>
        <w:t>.</w:t>
      </w:r>
      <w:r w:rsidRPr="00082FE6">
        <w:rPr>
          <w:rFonts w:eastAsia="Arial" w:cs="Times New Roman"/>
          <w:lang w:val="en"/>
        </w:rPr>
        <w:t xml:space="preserve"> </w:t>
      </w:r>
    </w:p>
    <w:p w14:paraId="6306897A" w14:textId="1A310DA1" w:rsidR="001F4600" w:rsidRPr="00082FE6" w:rsidRDefault="0091480E" w:rsidP="001F4600">
      <w:pPr>
        <w:pStyle w:val="ListBullet"/>
        <w:numPr>
          <w:ilvl w:val="0"/>
          <w:numId w:val="4"/>
        </w:numPr>
      </w:pPr>
      <w:r w:rsidRPr="00082FE6">
        <w:t>Crude oil</w:t>
      </w:r>
      <w:r w:rsidR="00DB0186">
        <w:t xml:space="preserve"> and </w:t>
      </w:r>
      <w:r w:rsidRPr="00082FE6">
        <w:t>condensate</w:t>
      </w:r>
      <w:r w:rsidR="001F4600" w:rsidRPr="00082FE6">
        <w:t xml:space="preserve"> production </w:t>
      </w:r>
      <w:r w:rsidR="001150BE" w:rsidRPr="00082FE6">
        <w:t xml:space="preserve">continued </w:t>
      </w:r>
      <w:r w:rsidR="00CA31B7">
        <w:t>its</w:t>
      </w:r>
      <w:r w:rsidR="00DB0186">
        <w:t xml:space="preserve"> longer </w:t>
      </w:r>
      <w:r w:rsidR="001150BE" w:rsidRPr="00082FE6">
        <w:t>term decline, falling</w:t>
      </w:r>
      <w:r w:rsidR="001F4600" w:rsidRPr="00082FE6">
        <w:t xml:space="preserve"> by </w:t>
      </w:r>
      <w:r w:rsidR="00DB0186" w:rsidRPr="00082FE6">
        <w:t>1</w:t>
      </w:r>
      <w:r w:rsidR="00DB0186">
        <w:t>2</w:t>
      </w:r>
      <w:r w:rsidR="001F4600" w:rsidRPr="00082FE6">
        <w:t xml:space="preserve"> per cent </w:t>
      </w:r>
      <w:r w:rsidR="008E45D1" w:rsidRPr="00082FE6">
        <w:t xml:space="preserve">in </w:t>
      </w:r>
      <w:r w:rsidR="003F2CCE" w:rsidRPr="00082FE6">
        <w:t>2016–17</w:t>
      </w:r>
      <w:r w:rsidR="00344000">
        <w:t>, despite increased liquids production from new gas fields in the west</w:t>
      </w:r>
      <w:r w:rsidR="008E45D1" w:rsidRPr="00082FE6">
        <w:t xml:space="preserve">. </w:t>
      </w:r>
    </w:p>
    <w:p w14:paraId="0CD4FDCB" w14:textId="77777777" w:rsidR="001F4600" w:rsidRPr="005F5D85" w:rsidRDefault="001F4600" w:rsidP="00082FE6">
      <w:pPr>
        <w:pStyle w:val="Heading2"/>
        <w:numPr>
          <w:ilvl w:val="0"/>
          <w:numId w:val="0"/>
        </w:numPr>
        <w:ind w:left="709" w:hanging="709"/>
      </w:pPr>
      <w:bookmarkStart w:id="19" w:name="_Toc428130025"/>
      <w:bookmarkStart w:id="20" w:name="_Toc492240072"/>
      <w:bookmarkStart w:id="21" w:name="_Toc521337532"/>
      <w:bookmarkStart w:id="22" w:name="_Toc521337647"/>
      <w:bookmarkStart w:id="23" w:name="_Toc522197017"/>
      <w:bookmarkStart w:id="24" w:name="_Toc522200463"/>
      <w:bookmarkStart w:id="25" w:name="_Toc522633181"/>
      <w:r w:rsidRPr="005F5D85">
        <w:t>Electricity generation</w:t>
      </w:r>
      <w:bookmarkEnd w:id="19"/>
      <w:bookmarkEnd w:id="20"/>
      <w:bookmarkEnd w:id="21"/>
      <w:bookmarkEnd w:id="22"/>
      <w:bookmarkEnd w:id="23"/>
      <w:bookmarkEnd w:id="24"/>
      <w:bookmarkEnd w:id="25"/>
    </w:p>
    <w:p w14:paraId="72D95B7D" w14:textId="04D99953" w:rsidR="007E7220" w:rsidRDefault="005C43CA" w:rsidP="00D6514B">
      <w:pPr>
        <w:pStyle w:val="ListBullet"/>
        <w:numPr>
          <w:ilvl w:val="0"/>
          <w:numId w:val="4"/>
        </w:numPr>
      </w:pPr>
      <w:bookmarkStart w:id="26" w:name="_Toc428130026"/>
      <w:r w:rsidRPr="00082FE6">
        <w:t>E</w:t>
      </w:r>
      <w:r w:rsidR="00D11D11" w:rsidRPr="00082FE6">
        <w:t>lectricity generation in Australia</w:t>
      </w:r>
      <w:r w:rsidR="00BA7746" w:rsidRPr="0051400D">
        <w:t xml:space="preserve"> </w:t>
      </w:r>
      <w:r w:rsidR="00782F4E">
        <w:t xml:space="preserve">rose marginally </w:t>
      </w:r>
      <w:r w:rsidR="00D11D11" w:rsidRPr="00082FE6">
        <w:t xml:space="preserve">in </w:t>
      </w:r>
      <w:r w:rsidR="003F2CCE" w:rsidRPr="00082FE6">
        <w:t>2016–17</w:t>
      </w:r>
      <w:r w:rsidR="00D11D11" w:rsidRPr="00082FE6">
        <w:t xml:space="preserve"> to 25</w:t>
      </w:r>
      <w:r w:rsidR="00E463F7" w:rsidRPr="00082FE6">
        <w:t>8</w:t>
      </w:r>
      <w:r w:rsidR="00344000">
        <w:t> </w:t>
      </w:r>
      <w:r w:rsidR="00D11D11" w:rsidRPr="00082FE6">
        <w:t>terawatt hours (92</w:t>
      </w:r>
      <w:r w:rsidR="00E463F7" w:rsidRPr="00082FE6">
        <w:t>9</w:t>
      </w:r>
      <w:r w:rsidR="00D11D11" w:rsidRPr="00082FE6">
        <w:t xml:space="preserve"> petajoules</w:t>
      </w:r>
      <w:r w:rsidRPr="00082FE6">
        <w:t>)</w:t>
      </w:r>
      <w:r w:rsidR="00D11D11" w:rsidRPr="00082FE6">
        <w:t>.</w:t>
      </w:r>
      <w:r w:rsidR="00BA7746">
        <w:t xml:space="preserve"> This </w:t>
      </w:r>
      <w:r w:rsidR="00344000">
        <w:t>figure includes</w:t>
      </w:r>
      <w:r w:rsidR="00BA7746">
        <w:t xml:space="preserve"> all electricity generation, including </w:t>
      </w:r>
      <w:r w:rsidR="00782F4E">
        <w:t>industrial</w:t>
      </w:r>
      <w:r w:rsidR="00344000">
        <w:t>,</w:t>
      </w:r>
      <w:r w:rsidR="00782F4E">
        <w:t xml:space="preserve"> </w:t>
      </w:r>
      <w:r w:rsidR="00BA7746">
        <w:t>rooftop solar PV and off-grid generation.</w:t>
      </w:r>
      <w:r w:rsidR="007E7220">
        <w:t xml:space="preserve"> </w:t>
      </w:r>
    </w:p>
    <w:p w14:paraId="2FB51516" w14:textId="6EA359FC" w:rsidR="00AE69EF" w:rsidRPr="00D73C79" w:rsidRDefault="00AE69EF" w:rsidP="00D6514B">
      <w:pPr>
        <w:pStyle w:val="ListBullet"/>
        <w:numPr>
          <w:ilvl w:val="0"/>
          <w:numId w:val="4"/>
        </w:numPr>
      </w:pPr>
      <w:r>
        <w:t xml:space="preserve">About 12 per cent </w:t>
      </w:r>
      <w:r w:rsidR="00344000">
        <w:t xml:space="preserve">of Australia’s </w:t>
      </w:r>
      <w:r w:rsidR="002C4301">
        <w:t xml:space="preserve">electricity </w:t>
      </w:r>
      <w:r>
        <w:t>was generated outside the electricity sector by industry and households</w:t>
      </w:r>
      <w:r w:rsidR="00344000">
        <w:t xml:space="preserve"> in 2016–17</w:t>
      </w:r>
      <w:r>
        <w:t>.</w:t>
      </w:r>
    </w:p>
    <w:p w14:paraId="66E4A923" w14:textId="77777777" w:rsidR="00CA31B7" w:rsidRDefault="001258D4" w:rsidP="00D6514B">
      <w:pPr>
        <w:pStyle w:val="ListBullet"/>
        <w:numPr>
          <w:ilvl w:val="0"/>
          <w:numId w:val="4"/>
        </w:numPr>
      </w:pPr>
      <w:r>
        <w:t>Brown coal-</w:t>
      </w:r>
      <w:r w:rsidR="00D11D11" w:rsidRPr="00082FE6">
        <w:t xml:space="preserve">fired generation </w:t>
      </w:r>
      <w:r w:rsidR="007E7220">
        <w:t>fell</w:t>
      </w:r>
      <w:r w:rsidR="00D11D11" w:rsidRPr="00082FE6">
        <w:t xml:space="preserve"> by </w:t>
      </w:r>
      <w:r w:rsidR="000E1992" w:rsidRPr="00082FE6">
        <w:t>11</w:t>
      </w:r>
      <w:r w:rsidR="00D11D11" w:rsidRPr="00082FE6">
        <w:t xml:space="preserve"> per cent in </w:t>
      </w:r>
      <w:r w:rsidR="003F2CCE" w:rsidRPr="00082FE6">
        <w:t>2016–17</w:t>
      </w:r>
      <w:r w:rsidR="00D11D11" w:rsidRPr="00082FE6">
        <w:t xml:space="preserve">, while black coal rose by </w:t>
      </w:r>
      <w:r w:rsidR="000441D1">
        <w:t>4</w:t>
      </w:r>
      <w:r w:rsidR="00D11D11" w:rsidRPr="00082FE6">
        <w:t xml:space="preserve"> per cent, with </w:t>
      </w:r>
      <w:r w:rsidR="000E1992" w:rsidRPr="00082FE6">
        <w:t xml:space="preserve">the share of </w:t>
      </w:r>
      <w:r w:rsidR="00D11D11" w:rsidRPr="00082FE6">
        <w:t xml:space="preserve">coal </w:t>
      </w:r>
      <w:r w:rsidR="000E1992" w:rsidRPr="00082FE6">
        <w:t xml:space="preserve">remaining at </w:t>
      </w:r>
      <w:r w:rsidR="00D11D11" w:rsidRPr="00082FE6">
        <w:t xml:space="preserve">63 per cent of total generation. </w:t>
      </w:r>
      <w:r w:rsidR="001150BE" w:rsidRPr="00082FE6">
        <w:t xml:space="preserve">The share of coal </w:t>
      </w:r>
      <w:r w:rsidR="007E7220">
        <w:t>fell to</w:t>
      </w:r>
      <w:r w:rsidR="001150BE" w:rsidRPr="00082FE6">
        <w:t xml:space="preserve"> 6</w:t>
      </w:r>
      <w:r w:rsidR="000E1992" w:rsidRPr="00082FE6">
        <w:t>1</w:t>
      </w:r>
      <w:r w:rsidR="001150BE" w:rsidRPr="00082FE6">
        <w:t xml:space="preserve"> per cent in calendar year 201</w:t>
      </w:r>
      <w:r w:rsidR="00061A48" w:rsidRPr="00082FE6">
        <w:t>7</w:t>
      </w:r>
      <w:r w:rsidR="001150BE" w:rsidRPr="00082FE6">
        <w:t>.</w:t>
      </w:r>
    </w:p>
    <w:p w14:paraId="41BF64A3" w14:textId="520E1CB2" w:rsidR="00D11D11" w:rsidRPr="00082FE6" w:rsidRDefault="008B7D83" w:rsidP="00D6514B">
      <w:pPr>
        <w:pStyle w:val="ListBullet"/>
        <w:numPr>
          <w:ilvl w:val="0"/>
          <w:numId w:val="4"/>
        </w:numPr>
      </w:pPr>
      <w:r w:rsidRPr="00082FE6">
        <w:t xml:space="preserve">Australia </w:t>
      </w:r>
      <w:r w:rsidR="00BA7746">
        <w:t>is now</w:t>
      </w:r>
      <w:r w:rsidRPr="00082FE6">
        <w:t xml:space="preserve"> less reliant on coal than at the beginning of the century</w:t>
      </w:r>
      <w:r w:rsidR="00BB1EFA" w:rsidRPr="00082FE6">
        <w:t>,</w:t>
      </w:r>
      <w:r w:rsidR="00D11D11" w:rsidRPr="00082FE6">
        <w:t xml:space="preserve"> when </w:t>
      </w:r>
      <w:r w:rsidR="00BA7746">
        <w:t>coal’s</w:t>
      </w:r>
      <w:r w:rsidR="00D11D11" w:rsidRPr="00082FE6">
        <w:t xml:space="preserve"> share was more than 80 per cent</w:t>
      </w:r>
      <w:r w:rsidRPr="00082FE6">
        <w:t xml:space="preserve"> of electricity generation</w:t>
      </w:r>
      <w:r w:rsidR="00D11D11" w:rsidRPr="00082FE6">
        <w:t xml:space="preserve">. </w:t>
      </w:r>
    </w:p>
    <w:p w14:paraId="668497C1" w14:textId="7DDB6315" w:rsidR="00D11D11" w:rsidRPr="00082FE6" w:rsidRDefault="001258D4" w:rsidP="00D11D11">
      <w:pPr>
        <w:pStyle w:val="ListBullet"/>
        <w:numPr>
          <w:ilvl w:val="0"/>
          <w:numId w:val="4"/>
        </w:numPr>
      </w:pPr>
      <w:r>
        <w:t>Natural gas-</w:t>
      </w:r>
      <w:r w:rsidR="00D3773D" w:rsidRPr="00082FE6">
        <w:t xml:space="preserve">fired </w:t>
      </w:r>
      <w:r w:rsidR="00D11D11" w:rsidRPr="00082FE6">
        <w:t xml:space="preserve">generation </w:t>
      </w:r>
      <w:r w:rsidR="000E1992" w:rsidRPr="00082FE6">
        <w:t>was fairly steady</w:t>
      </w:r>
      <w:r w:rsidR="00D11D11" w:rsidRPr="00082FE6">
        <w:t xml:space="preserve"> in </w:t>
      </w:r>
      <w:r w:rsidR="003F2CCE" w:rsidRPr="00082FE6">
        <w:t>2016–17</w:t>
      </w:r>
      <w:r w:rsidR="007E7220">
        <w:t>,</w:t>
      </w:r>
      <w:r w:rsidR="000E1992" w:rsidRPr="00082FE6">
        <w:t xml:space="preserve"> remaining at about </w:t>
      </w:r>
      <w:r w:rsidR="00D11D11" w:rsidRPr="00082FE6">
        <w:t>20 per cent of total electricity generation.</w:t>
      </w:r>
      <w:r w:rsidR="00D3773D" w:rsidRPr="00082FE6">
        <w:t xml:space="preserve"> Its share </w:t>
      </w:r>
      <w:r w:rsidR="00061A48" w:rsidRPr="00082FE6">
        <w:t>increased</w:t>
      </w:r>
      <w:r w:rsidR="007E7220">
        <w:t xml:space="preserve"> slightly</w:t>
      </w:r>
      <w:r w:rsidR="00D3773D" w:rsidRPr="00082FE6">
        <w:t xml:space="preserve"> in calendar year 201</w:t>
      </w:r>
      <w:r w:rsidR="00061A48" w:rsidRPr="00082FE6">
        <w:t>7</w:t>
      </w:r>
      <w:r w:rsidR="00D3773D" w:rsidRPr="00082FE6">
        <w:t xml:space="preserve">, to </w:t>
      </w:r>
      <w:r w:rsidR="00061A48" w:rsidRPr="00082FE6">
        <w:t>21</w:t>
      </w:r>
      <w:r w:rsidR="00D3773D" w:rsidRPr="00082FE6">
        <w:t xml:space="preserve"> per cent</w:t>
      </w:r>
      <w:r w:rsidR="00797186" w:rsidRPr="00082FE6">
        <w:t xml:space="preserve"> of total generation</w:t>
      </w:r>
      <w:r w:rsidR="00D3773D" w:rsidRPr="00082FE6">
        <w:t>.</w:t>
      </w:r>
    </w:p>
    <w:p w14:paraId="07BEBF74" w14:textId="026FC0BE" w:rsidR="00D11D11" w:rsidRPr="00082FE6" w:rsidRDefault="00D11D11" w:rsidP="00D11D11">
      <w:pPr>
        <w:pStyle w:val="ListBullet"/>
        <w:numPr>
          <w:ilvl w:val="0"/>
          <w:numId w:val="4"/>
        </w:numPr>
      </w:pPr>
      <w:r w:rsidRPr="00082FE6">
        <w:t xml:space="preserve">Renewable generation increased by </w:t>
      </w:r>
      <w:r w:rsidR="00061A48" w:rsidRPr="00082FE6">
        <w:t>6</w:t>
      </w:r>
      <w:r w:rsidRPr="00082FE6">
        <w:t xml:space="preserve"> per cent in </w:t>
      </w:r>
      <w:r w:rsidR="003F2CCE" w:rsidRPr="00082FE6">
        <w:t>2016–17</w:t>
      </w:r>
      <w:r w:rsidRPr="00082FE6">
        <w:t xml:space="preserve">, </w:t>
      </w:r>
      <w:r w:rsidR="007E7220">
        <w:t xml:space="preserve">contributing </w:t>
      </w:r>
      <w:r w:rsidRPr="00082FE6">
        <w:t>1</w:t>
      </w:r>
      <w:r w:rsidR="00061A48" w:rsidRPr="00082FE6">
        <w:t>6</w:t>
      </w:r>
      <w:r w:rsidRPr="00082FE6">
        <w:t xml:space="preserve"> per cent of total generation. </w:t>
      </w:r>
      <w:r w:rsidR="008B3E20">
        <w:t>Most</w:t>
      </w:r>
      <w:r w:rsidR="006D6085">
        <w:t xml:space="preserve"> of</w:t>
      </w:r>
      <w:r w:rsidR="00A52E33" w:rsidRPr="00082FE6">
        <w:t xml:space="preserve"> </w:t>
      </w:r>
      <w:r w:rsidR="001258D4">
        <w:t>the</w:t>
      </w:r>
      <w:r w:rsidR="00A52E33" w:rsidRPr="00082FE6">
        <w:t xml:space="preserve"> growth was </w:t>
      </w:r>
      <w:r w:rsidR="006D6085">
        <w:t>from solar</w:t>
      </w:r>
      <w:r w:rsidR="00A52E33" w:rsidRPr="00082FE6">
        <w:t xml:space="preserve"> in 2016</w:t>
      </w:r>
      <w:r w:rsidR="00AE69EF">
        <w:t>–</w:t>
      </w:r>
      <w:r w:rsidR="00A52E33" w:rsidRPr="00082FE6">
        <w:t xml:space="preserve">17, but growth also occurred in </w:t>
      </w:r>
      <w:r w:rsidR="006D6085">
        <w:t>hydro</w:t>
      </w:r>
      <w:r w:rsidR="00A52E33" w:rsidRPr="00082FE6">
        <w:t xml:space="preserve">. </w:t>
      </w:r>
      <w:r w:rsidR="008B3E20">
        <w:t>Generation from solid waste and landfill biogas was 3 per cent of total renewable generation.</w:t>
      </w:r>
    </w:p>
    <w:p w14:paraId="3BC36DAD" w14:textId="5AB4AF8A" w:rsidR="00D11D11" w:rsidRPr="00082FE6" w:rsidRDefault="001258D4" w:rsidP="00D6514B">
      <w:pPr>
        <w:pStyle w:val="ListBullet"/>
        <w:numPr>
          <w:ilvl w:val="0"/>
          <w:numId w:val="4"/>
        </w:numPr>
      </w:pPr>
      <w:r>
        <w:t>R</w:t>
      </w:r>
      <w:r w:rsidR="00A52E33" w:rsidRPr="00082FE6">
        <w:t>enewable</w:t>
      </w:r>
      <w:r>
        <w:t xml:space="preserve"> generation</w:t>
      </w:r>
      <w:r w:rsidR="00A52E33" w:rsidRPr="00082FE6">
        <w:t xml:space="preserve"> declined slightly in calendar year 2017, to 15 per cent of total generation</w:t>
      </w:r>
      <w:r w:rsidR="007E7220">
        <w:t xml:space="preserve">, with </w:t>
      </w:r>
      <w:r w:rsidR="00A52E33" w:rsidRPr="00082FE6">
        <w:t xml:space="preserve">a </w:t>
      </w:r>
      <w:r w:rsidR="007E7220">
        <w:t>fall</w:t>
      </w:r>
      <w:r w:rsidR="00A52E33" w:rsidRPr="00082FE6">
        <w:t xml:space="preserve"> in hydro in the latter part of the year.</w:t>
      </w:r>
      <w:r w:rsidR="006D6085" w:rsidRPr="00082FE6">
        <w:t xml:space="preserve"> </w:t>
      </w:r>
      <w:r w:rsidR="00D3773D" w:rsidRPr="00082FE6">
        <w:t xml:space="preserve">Hydro accounted for </w:t>
      </w:r>
      <w:r w:rsidR="00061A48" w:rsidRPr="00082FE6">
        <w:t>5</w:t>
      </w:r>
      <w:r w:rsidR="00D3773D" w:rsidRPr="00082FE6">
        <w:t xml:space="preserve"> per cent of total generation </w:t>
      </w:r>
      <w:r>
        <w:t xml:space="preserve">in </w:t>
      </w:r>
      <w:r w:rsidR="00D3773D" w:rsidRPr="00082FE6">
        <w:t>201</w:t>
      </w:r>
      <w:r w:rsidR="00061A48" w:rsidRPr="00082FE6">
        <w:t>7</w:t>
      </w:r>
      <w:r w:rsidR="00D3773D" w:rsidRPr="00082FE6">
        <w:t xml:space="preserve">, </w:t>
      </w:r>
      <w:r>
        <w:t>while</w:t>
      </w:r>
      <w:r w:rsidR="008B7D83" w:rsidRPr="00082FE6">
        <w:t xml:space="preserve"> wind account</w:t>
      </w:r>
      <w:r>
        <w:t>ed</w:t>
      </w:r>
      <w:r w:rsidR="008B7D83" w:rsidRPr="00082FE6">
        <w:t xml:space="preserve"> for</w:t>
      </w:r>
      <w:r w:rsidR="00061A48" w:rsidRPr="00082FE6">
        <w:t xml:space="preserve"> just under</w:t>
      </w:r>
      <w:r w:rsidR="00D11D11" w:rsidRPr="00082FE6">
        <w:t xml:space="preserve"> </w:t>
      </w:r>
      <w:r w:rsidR="00D3773D" w:rsidRPr="00082FE6">
        <w:t xml:space="preserve">5 per cent. Solar accounted for </w:t>
      </w:r>
      <w:r w:rsidR="00A84085">
        <w:t>3</w:t>
      </w:r>
      <w:r w:rsidR="00D3773D" w:rsidRPr="00082FE6">
        <w:t xml:space="preserve"> per cent of total generatio</w:t>
      </w:r>
      <w:r w:rsidR="001811A7" w:rsidRPr="00082FE6">
        <w:t>n in 201</w:t>
      </w:r>
      <w:r w:rsidR="00061A48" w:rsidRPr="00082FE6">
        <w:t>7</w:t>
      </w:r>
      <w:r w:rsidR="001811A7" w:rsidRPr="00082FE6">
        <w:t xml:space="preserve"> and </w:t>
      </w:r>
      <w:r w:rsidR="00A52E33" w:rsidRPr="00082FE6">
        <w:t>the majority</w:t>
      </w:r>
      <w:r w:rsidR="001811A7" w:rsidRPr="00082FE6">
        <w:t xml:space="preserve"> of this wa</w:t>
      </w:r>
      <w:r w:rsidR="00D3773D" w:rsidRPr="00082FE6">
        <w:t>s small-scale PV</w:t>
      </w:r>
      <w:r w:rsidR="00D11D11" w:rsidRPr="00082FE6">
        <w:t xml:space="preserve">. </w:t>
      </w:r>
    </w:p>
    <w:p w14:paraId="535369F3" w14:textId="77777777" w:rsidR="001F4600" w:rsidRPr="001F1F3C" w:rsidRDefault="001F4600" w:rsidP="00082FE6">
      <w:pPr>
        <w:pStyle w:val="Heading2"/>
        <w:numPr>
          <w:ilvl w:val="0"/>
          <w:numId w:val="0"/>
        </w:numPr>
        <w:ind w:left="709" w:hanging="709"/>
      </w:pPr>
      <w:bookmarkStart w:id="27" w:name="_Toc492240073"/>
      <w:bookmarkStart w:id="28" w:name="_Toc521337533"/>
      <w:bookmarkStart w:id="29" w:name="_Toc521337648"/>
      <w:bookmarkStart w:id="30" w:name="_Toc522197018"/>
      <w:bookmarkStart w:id="31" w:name="_Toc522200464"/>
      <w:bookmarkStart w:id="32" w:name="_Toc522633182"/>
      <w:r w:rsidRPr="001F1F3C">
        <w:t>Energy trade</w:t>
      </w:r>
      <w:bookmarkEnd w:id="26"/>
      <w:bookmarkEnd w:id="27"/>
      <w:bookmarkEnd w:id="28"/>
      <w:bookmarkEnd w:id="29"/>
      <w:bookmarkEnd w:id="30"/>
      <w:bookmarkEnd w:id="31"/>
      <w:bookmarkEnd w:id="32"/>
    </w:p>
    <w:p w14:paraId="421482E4" w14:textId="7127BB42" w:rsidR="008B7D83" w:rsidRPr="00082FE6" w:rsidRDefault="005C741B" w:rsidP="001F4600">
      <w:pPr>
        <w:pStyle w:val="ListBullet"/>
        <w:numPr>
          <w:ilvl w:val="0"/>
          <w:numId w:val="4"/>
        </w:numPr>
      </w:pPr>
      <w:r>
        <w:t>Most</w:t>
      </w:r>
      <w:r w:rsidR="00A84085">
        <w:t xml:space="preserve"> of Australia</w:t>
      </w:r>
      <w:r>
        <w:t>’s</w:t>
      </w:r>
      <w:r w:rsidR="00A84085">
        <w:t xml:space="preserve"> energy production is exported. </w:t>
      </w:r>
      <w:r>
        <w:t>N</w:t>
      </w:r>
      <w:r w:rsidR="008B7D83" w:rsidRPr="00082FE6">
        <w:t xml:space="preserve">et exports </w:t>
      </w:r>
      <w:r w:rsidR="000A1E4D">
        <w:t xml:space="preserve">(exports minus imports) </w:t>
      </w:r>
      <w:r w:rsidR="0090135E" w:rsidRPr="00082FE6">
        <w:t xml:space="preserve">were </w:t>
      </w:r>
      <w:r>
        <w:t>equal to</w:t>
      </w:r>
      <w:r w:rsidR="008B7D83" w:rsidRPr="00082FE6">
        <w:t xml:space="preserve"> two-thirds of production</w:t>
      </w:r>
      <w:r w:rsidRPr="005C741B">
        <w:t xml:space="preserve"> </w:t>
      </w:r>
      <w:r w:rsidRPr="00082FE6">
        <w:t>in 2016–17</w:t>
      </w:r>
      <w:r w:rsidR="008B7D83" w:rsidRPr="00082FE6">
        <w:t>.</w:t>
      </w:r>
    </w:p>
    <w:p w14:paraId="27EE4915" w14:textId="703CE324" w:rsidR="001F4600" w:rsidRPr="00082FE6" w:rsidRDefault="001F4600" w:rsidP="001F4600">
      <w:pPr>
        <w:pStyle w:val="ListBullet"/>
        <w:numPr>
          <w:ilvl w:val="0"/>
          <w:numId w:val="4"/>
        </w:numPr>
      </w:pPr>
      <w:r w:rsidRPr="00082FE6">
        <w:t xml:space="preserve">Energy exports grew by </w:t>
      </w:r>
      <w:r w:rsidR="000B2C25" w:rsidRPr="00082FE6">
        <w:t>4</w:t>
      </w:r>
      <w:r w:rsidRPr="00082FE6">
        <w:t xml:space="preserve"> per cent in </w:t>
      </w:r>
      <w:r w:rsidR="003F2CCE" w:rsidRPr="00082FE6">
        <w:t>2016–17</w:t>
      </w:r>
      <w:r w:rsidRPr="00082FE6">
        <w:t xml:space="preserve"> to </w:t>
      </w:r>
      <w:r w:rsidR="000B2C25" w:rsidRPr="00082FE6">
        <w:t>1</w:t>
      </w:r>
      <w:r w:rsidR="00A84085">
        <w:t>4</w:t>
      </w:r>
      <w:r w:rsidR="000B2C25" w:rsidRPr="00082FE6">
        <w:t>,</w:t>
      </w:r>
      <w:r w:rsidR="00A84085">
        <w:t>140</w:t>
      </w:r>
      <w:r w:rsidRPr="00082FE6">
        <w:t xml:space="preserve"> petajoules. LNG</w:t>
      </w:r>
      <w:r w:rsidR="004862CD" w:rsidRPr="00082FE6">
        <w:t xml:space="preserve"> </w:t>
      </w:r>
      <w:r w:rsidRPr="00082FE6">
        <w:t xml:space="preserve">exports </w:t>
      </w:r>
      <w:r w:rsidR="000B2C25" w:rsidRPr="00082FE6">
        <w:t xml:space="preserve">grew by </w:t>
      </w:r>
      <w:r w:rsidR="00A84085" w:rsidRPr="00082FE6">
        <w:t>4</w:t>
      </w:r>
      <w:r w:rsidR="000441D1">
        <w:t>1</w:t>
      </w:r>
      <w:r w:rsidR="00A84085" w:rsidRPr="00082FE6">
        <w:t xml:space="preserve"> </w:t>
      </w:r>
      <w:r w:rsidR="003006C7" w:rsidRPr="00082FE6">
        <w:t>per cent</w:t>
      </w:r>
      <w:r w:rsidR="00BB1EFA" w:rsidRPr="00082FE6">
        <w:t xml:space="preserve"> to 2,</w:t>
      </w:r>
      <w:r w:rsidR="00A84085">
        <w:t>86</w:t>
      </w:r>
      <w:r w:rsidR="000441D1">
        <w:t>5</w:t>
      </w:r>
      <w:r w:rsidR="00A84085" w:rsidRPr="00082FE6">
        <w:t xml:space="preserve"> </w:t>
      </w:r>
      <w:r w:rsidR="00BB1EFA" w:rsidRPr="00082FE6">
        <w:t>petajoules</w:t>
      </w:r>
      <w:r w:rsidR="0090135E" w:rsidRPr="00082FE6">
        <w:t xml:space="preserve">, as new capacity in Queensland and Western Australia came online. </w:t>
      </w:r>
      <w:r w:rsidR="005C741B">
        <w:t>In contrast, e</w:t>
      </w:r>
      <w:r w:rsidR="0090135E" w:rsidRPr="00082FE6">
        <w:t>xports of</w:t>
      </w:r>
      <w:r w:rsidR="00817F02" w:rsidRPr="00082FE6">
        <w:t xml:space="preserve"> black coal</w:t>
      </w:r>
      <w:r w:rsidR="0090135E" w:rsidRPr="00082FE6">
        <w:t xml:space="preserve"> </w:t>
      </w:r>
      <w:r w:rsidR="005C741B">
        <w:t xml:space="preserve">and crude oil </w:t>
      </w:r>
      <w:r w:rsidR="00A84085">
        <w:t>fell by 3 per cent and 8 per cent</w:t>
      </w:r>
      <w:r w:rsidR="005C741B">
        <w:t xml:space="preserve"> respectively</w:t>
      </w:r>
      <w:r w:rsidR="0090135E" w:rsidRPr="00082FE6">
        <w:t>.</w:t>
      </w:r>
      <w:r w:rsidR="003006C7" w:rsidRPr="00082FE6">
        <w:t xml:space="preserve"> </w:t>
      </w:r>
    </w:p>
    <w:p w14:paraId="7B7685D0" w14:textId="1441F7F7" w:rsidR="00086E77" w:rsidRPr="00082FE6" w:rsidRDefault="00086E77" w:rsidP="00086E77">
      <w:pPr>
        <w:pStyle w:val="ListBullet"/>
        <w:numPr>
          <w:ilvl w:val="0"/>
          <w:numId w:val="4"/>
        </w:numPr>
      </w:pPr>
      <w:r w:rsidRPr="00082FE6">
        <w:t>Australia</w:t>
      </w:r>
      <w:r w:rsidR="000A1E4D">
        <w:t xml:space="preserve"> is also a significant exporter of </w:t>
      </w:r>
      <w:r w:rsidRPr="00082FE6">
        <w:t xml:space="preserve">uranium oxide, for use in nuclear power plants overseas. </w:t>
      </w:r>
      <w:r w:rsidR="00A84085" w:rsidRPr="001F1F3C">
        <w:t xml:space="preserve">Uranium exports </w:t>
      </w:r>
      <w:r w:rsidR="000A1E4D">
        <w:t>fell</w:t>
      </w:r>
      <w:r w:rsidR="00A84085" w:rsidRPr="001F1F3C">
        <w:t xml:space="preserve"> by 5 per cent in 2016–17 to 7,</w:t>
      </w:r>
      <w:r w:rsidR="00A84085">
        <w:t>081</w:t>
      </w:r>
      <w:r w:rsidR="007D116F">
        <w:t> </w:t>
      </w:r>
      <w:r w:rsidR="00A84085" w:rsidRPr="001F1F3C">
        <w:t xml:space="preserve">tonnes. </w:t>
      </w:r>
    </w:p>
    <w:p w14:paraId="057592AE" w14:textId="1825F236" w:rsidR="00106E07" w:rsidRDefault="00134A8F" w:rsidP="001F4600">
      <w:pPr>
        <w:pStyle w:val="ListBullet"/>
        <w:numPr>
          <w:ilvl w:val="0"/>
          <w:numId w:val="4"/>
        </w:numPr>
        <w:sectPr w:rsidR="00106E07" w:rsidSect="00106E07">
          <w:pgSz w:w="11906" w:h="16838" w:code="9"/>
          <w:pgMar w:top="1440" w:right="1440" w:bottom="1440" w:left="3572" w:header="709" w:footer="709" w:gutter="0"/>
          <w:pgNumType w:start="1"/>
          <w:cols w:space="708"/>
          <w:docGrid w:linePitch="360"/>
        </w:sectPr>
      </w:pPr>
      <w:r>
        <w:t>E</w:t>
      </w:r>
      <w:r w:rsidR="00A84085" w:rsidRPr="001F1F3C">
        <w:t xml:space="preserve">nergy imports increased by </w:t>
      </w:r>
      <w:r w:rsidR="007D116F">
        <w:t xml:space="preserve">2 per cent </w:t>
      </w:r>
      <w:r w:rsidR="00724CE8">
        <w:t>to 2,327 </w:t>
      </w:r>
      <w:r w:rsidR="00724CE8" w:rsidRPr="001F1F3C">
        <w:t>petajoules</w:t>
      </w:r>
      <w:r w:rsidRPr="00134A8F">
        <w:t xml:space="preserve"> </w:t>
      </w:r>
      <w:r>
        <w:t>in 2016–17.</w:t>
      </w:r>
      <w:r w:rsidR="00724CE8">
        <w:t xml:space="preserve"> </w:t>
      </w:r>
      <w:r>
        <w:t>Most imports are of refined petroleum products and crude oil. Domestic refineries imported</w:t>
      </w:r>
      <w:r w:rsidR="00724CE8">
        <w:t xml:space="preserve"> three-quarters of </w:t>
      </w:r>
      <w:r>
        <w:t>their</w:t>
      </w:r>
      <w:r w:rsidR="00724CE8">
        <w:t xml:space="preserve"> feedstock</w:t>
      </w:r>
      <w:r w:rsidR="007D116F">
        <w:t>,</w:t>
      </w:r>
      <w:r w:rsidR="0051400D">
        <w:t xml:space="preserve"> </w:t>
      </w:r>
      <w:r w:rsidR="002472D3">
        <w:t xml:space="preserve">while </w:t>
      </w:r>
      <w:r>
        <w:t>over half of refined product consumption in Australia was met by imports.</w:t>
      </w:r>
      <w:r w:rsidR="002472D3">
        <w:t xml:space="preserve"> </w:t>
      </w:r>
    </w:p>
    <w:p w14:paraId="1DB1E150" w14:textId="0044AFB5" w:rsidR="001F4600" w:rsidRPr="001F1F3C" w:rsidRDefault="001F4600" w:rsidP="00E276D4">
      <w:pPr>
        <w:pStyle w:val="Heading1"/>
        <w:numPr>
          <w:ilvl w:val="0"/>
          <w:numId w:val="24"/>
        </w:numPr>
      </w:pPr>
      <w:bookmarkStart w:id="33" w:name="_Toc392157280"/>
      <w:bookmarkStart w:id="34" w:name="_Toc427614393"/>
      <w:bookmarkStart w:id="35" w:name="_Toc428130027"/>
      <w:bookmarkStart w:id="36" w:name="_Toc522197019"/>
      <w:bookmarkStart w:id="37" w:name="_Toc522633183"/>
      <w:r w:rsidRPr="001F1F3C">
        <w:lastRenderedPageBreak/>
        <w:t xml:space="preserve">About the Australian Energy </w:t>
      </w:r>
      <w:bookmarkEnd w:id="33"/>
      <w:bookmarkEnd w:id="34"/>
      <w:bookmarkEnd w:id="35"/>
      <w:bookmarkEnd w:id="36"/>
      <w:r w:rsidR="00FE3760">
        <w:t>Statistics</w:t>
      </w:r>
      <w:bookmarkEnd w:id="37"/>
    </w:p>
    <w:p w14:paraId="4C1D6C6A" w14:textId="2AE2E7E5" w:rsidR="001F4600" w:rsidRPr="001F1F3C" w:rsidRDefault="001F4600" w:rsidP="001F4600">
      <w:pPr>
        <w:pStyle w:val="BodyText"/>
        <w:rPr>
          <w:lang w:val="en-GB"/>
        </w:rPr>
      </w:pPr>
      <w:r w:rsidRPr="001F1F3C">
        <w:rPr>
          <w:lang w:val="en-GB"/>
        </w:rPr>
        <w:t xml:space="preserve">The </w:t>
      </w:r>
      <w:r w:rsidRPr="001F1F3C">
        <w:rPr>
          <w:i/>
          <w:lang w:val="en-GB"/>
        </w:rPr>
        <w:t>Australian Energy Statistics</w:t>
      </w:r>
      <w:r w:rsidRPr="001F1F3C">
        <w:rPr>
          <w:lang w:val="en-GB"/>
        </w:rPr>
        <w:t xml:space="preserve"> (AES) is the authoritative and official source of annual energy </w:t>
      </w:r>
      <w:r w:rsidR="0023159E" w:rsidRPr="001F1F3C">
        <w:rPr>
          <w:lang w:val="en-GB"/>
        </w:rPr>
        <w:t>statistics</w:t>
      </w:r>
      <w:r w:rsidRPr="001F1F3C">
        <w:rPr>
          <w:lang w:val="en-GB"/>
        </w:rPr>
        <w:t xml:space="preserve"> for Australia. It provides information designed to increase the understanding of energy supply and use in Australia, to support decision making in government and industry, and to meet annual international energy reporting obligations. Th</w:t>
      </w:r>
      <w:r w:rsidR="00C943F0">
        <w:rPr>
          <w:lang w:val="en-GB"/>
        </w:rPr>
        <w:t>e</w:t>
      </w:r>
      <w:r w:rsidRPr="001F1F3C">
        <w:rPr>
          <w:lang w:val="en-GB"/>
        </w:rPr>
        <w:t xml:space="preserve"> dataset also underpins the calculation of Australia’s greenhouse gas emissions from energy supply and use.</w:t>
      </w:r>
    </w:p>
    <w:p w14:paraId="1FD4FABF" w14:textId="7D5C4639" w:rsidR="001F4600" w:rsidRPr="001F1F3C" w:rsidRDefault="001F4600" w:rsidP="001F4600">
      <w:pPr>
        <w:pStyle w:val="BodyText"/>
        <w:rPr>
          <w:lang w:val="en-GB"/>
        </w:rPr>
      </w:pPr>
      <w:r w:rsidRPr="001F1F3C">
        <w:rPr>
          <w:lang w:val="en-GB"/>
        </w:rPr>
        <w:t>The AES provides detailed energy consumption, production and trade statistics</w:t>
      </w:r>
      <w:r w:rsidR="00B30A30" w:rsidRPr="001F1F3C">
        <w:rPr>
          <w:lang w:val="en-GB"/>
        </w:rPr>
        <w:t xml:space="preserve"> and balances</w:t>
      </w:r>
      <w:r w:rsidRPr="001F1F3C">
        <w:rPr>
          <w:lang w:val="en-GB"/>
        </w:rPr>
        <w:t xml:space="preserve">, by state and territory, by energy type and by industry, in energy content and physical units. Where possible, the data is compiled and presented using concepts and definitions intended to align the AES with the framework used by the International Energy Agency (IEA). </w:t>
      </w:r>
    </w:p>
    <w:p w14:paraId="48A43BDE" w14:textId="7EFB6178" w:rsidR="001F4600" w:rsidRPr="001F1F3C" w:rsidRDefault="001F4600" w:rsidP="001F4600">
      <w:pPr>
        <w:pStyle w:val="BodyText"/>
        <w:rPr>
          <w:lang w:val="en-GB"/>
        </w:rPr>
      </w:pPr>
      <w:r w:rsidRPr="001F1F3C">
        <w:rPr>
          <w:lang w:val="en-GB"/>
        </w:rPr>
        <w:t xml:space="preserve">Key data sources include facility level reporting from the National Greenhouse and Energy Reporting Scheme (NGERS), the </w:t>
      </w:r>
      <w:r w:rsidRPr="001F1F3C">
        <w:rPr>
          <w:i/>
          <w:lang w:val="en-GB"/>
        </w:rPr>
        <w:t>Australian Petroleum Statistics</w:t>
      </w:r>
      <w:r w:rsidRPr="001F1F3C">
        <w:rPr>
          <w:lang w:val="en-GB"/>
        </w:rPr>
        <w:t xml:space="preserve"> (APS), the </w:t>
      </w:r>
      <w:r w:rsidRPr="001F1F3C">
        <w:rPr>
          <w:i/>
          <w:lang w:val="en-GB"/>
        </w:rPr>
        <w:t>Resources and Energy Quarterly</w:t>
      </w:r>
      <w:r w:rsidRPr="001F1F3C">
        <w:rPr>
          <w:lang w:val="en-GB"/>
        </w:rPr>
        <w:t xml:space="preserve">, </w:t>
      </w:r>
      <w:r w:rsidR="0073578C" w:rsidRPr="001F1F3C">
        <w:rPr>
          <w:lang w:val="en-GB"/>
        </w:rPr>
        <w:t xml:space="preserve">datasets and estimates from other Australian and state government agencies, </w:t>
      </w:r>
      <w:r w:rsidR="00776352">
        <w:rPr>
          <w:lang w:val="en-GB"/>
        </w:rPr>
        <w:t xml:space="preserve">internal </w:t>
      </w:r>
      <w:r w:rsidRPr="001F1F3C">
        <w:rPr>
          <w:lang w:val="en-GB"/>
        </w:rPr>
        <w:t>estimates using statistical techniques, and public company reporting. Some datasets from private subscription services and industry associations are also used to compare with these estimates and sources.</w:t>
      </w:r>
    </w:p>
    <w:p w14:paraId="5F997C41" w14:textId="4B7C4194" w:rsidR="0073578C" w:rsidRPr="001F1F3C" w:rsidRDefault="001F4600" w:rsidP="001F4600">
      <w:pPr>
        <w:pStyle w:val="BodyText"/>
        <w:rPr>
          <w:lang w:val="en-GB"/>
        </w:rPr>
      </w:pPr>
      <w:r w:rsidRPr="001F1F3C">
        <w:rPr>
          <w:lang w:val="en-GB"/>
        </w:rPr>
        <w:t xml:space="preserve">The AES has been published by the </w:t>
      </w:r>
      <w:r w:rsidR="00A07AE1" w:rsidRPr="001F1F3C">
        <w:rPr>
          <w:lang w:val="en-GB"/>
        </w:rPr>
        <w:t>Department of the Environment and Energy (</w:t>
      </w:r>
      <w:r w:rsidR="003F2CCE" w:rsidRPr="001F1F3C">
        <w:rPr>
          <w:lang w:val="en-GB"/>
        </w:rPr>
        <w:t>201</w:t>
      </w:r>
      <w:r w:rsidR="00776352">
        <w:rPr>
          <w:lang w:val="en-GB"/>
        </w:rPr>
        <w:t>7 to present</w:t>
      </w:r>
      <w:r w:rsidR="00A07AE1" w:rsidRPr="001F1F3C">
        <w:rPr>
          <w:lang w:val="en-GB"/>
        </w:rPr>
        <w:t xml:space="preserve">), the </w:t>
      </w:r>
      <w:r w:rsidRPr="001F1F3C">
        <w:rPr>
          <w:lang w:val="en-GB"/>
        </w:rPr>
        <w:t xml:space="preserve">Department of Industry, Innovation and Science (2015 and 2016), the Bureau of Resources and Energy Economics (BREE) (2012 to 2014), the Australian Bureau of Agricultural and Resources Economics and Sciences (ABARES) (1989 to 2011), and various </w:t>
      </w:r>
      <w:r w:rsidR="0073578C" w:rsidRPr="001F1F3C">
        <w:rPr>
          <w:lang w:val="en-GB"/>
        </w:rPr>
        <w:t xml:space="preserve">previous </w:t>
      </w:r>
      <w:r w:rsidRPr="001F1F3C">
        <w:rPr>
          <w:lang w:val="en-GB"/>
        </w:rPr>
        <w:t xml:space="preserve">Australian government agencies, since the mid-1970s. </w:t>
      </w:r>
    </w:p>
    <w:p w14:paraId="1E40A3D4" w14:textId="40EAE140" w:rsidR="001F4600" w:rsidRPr="001F1F3C" w:rsidRDefault="001F4600" w:rsidP="001F4600">
      <w:pPr>
        <w:pStyle w:val="BodyText"/>
        <w:rPr>
          <w:lang w:val="en-GB"/>
        </w:rPr>
      </w:pPr>
      <w:r w:rsidRPr="001F1F3C">
        <w:rPr>
          <w:lang w:val="en-GB"/>
        </w:rPr>
        <w:t xml:space="preserve">The </w:t>
      </w:r>
      <w:r w:rsidR="00776352">
        <w:rPr>
          <w:lang w:val="en-GB"/>
        </w:rPr>
        <w:t xml:space="preserve">full </w:t>
      </w:r>
      <w:r w:rsidRPr="001F1F3C">
        <w:rPr>
          <w:lang w:val="en-GB"/>
        </w:rPr>
        <w:t xml:space="preserve">AES dataset is made available through </w:t>
      </w:r>
      <w:r w:rsidR="00776352">
        <w:rPr>
          <w:lang w:val="en-GB"/>
        </w:rPr>
        <w:t xml:space="preserve">tables in Excel format at </w:t>
      </w:r>
      <w:hyperlink r:id="rId21" w:history="1">
        <w:r w:rsidR="00776352" w:rsidRPr="001A7AA7">
          <w:rPr>
            <w:rStyle w:val="Hyperlink"/>
            <w:lang w:val="en-GB"/>
          </w:rPr>
          <w:t>https://www.energy.gov.au/government-priorities/energy-data/australian-energy-statistics</w:t>
        </w:r>
      </w:hyperlink>
      <w:r w:rsidR="00776352">
        <w:rPr>
          <w:lang w:val="en-GB"/>
        </w:rPr>
        <w:t xml:space="preserve">. </w:t>
      </w:r>
      <w:r w:rsidRPr="001F1F3C">
        <w:rPr>
          <w:lang w:val="en-GB"/>
        </w:rPr>
        <w:t>A list of the AES tables available on th</w:t>
      </w:r>
      <w:r w:rsidR="007D116F">
        <w:rPr>
          <w:lang w:val="en-GB"/>
        </w:rPr>
        <w:t>e website is provided in Table 1</w:t>
      </w:r>
      <w:r w:rsidRPr="001F1F3C">
        <w:rPr>
          <w:lang w:val="en-GB"/>
        </w:rPr>
        <w:t xml:space="preserve">.1. </w:t>
      </w:r>
    </w:p>
    <w:p w14:paraId="30D9CA2B" w14:textId="21A3879A" w:rsidR="001F4600" w:rsidRPr="001F1F3C" w:rsidRDefault="001F4600" w:rsidP="001F4600">
      <w:pPr>
        <w:pStyle w:val="BodyText"/>
        <w:rPr>
          <w:lang w:val="en-GB"/>
        </w:rPr>
      </w:pPr>
      <w:r w:rsidRPr="001F1F3C">
        <w:rPr>
          <w:lang w:val="en-GB"/>
        </w:rPr>
        <w:t xml:space="preserve">The AES is accompanied by this report, the </w:t>
      </w:r>
      <w:r w:rsidRPr="001F1F3C">
        <w:rPr>
          <w:i/>
          <w:lang w:val="en-GB"/>
        </w:rPr>
        <w:t>Australian Energy Update</w:t>
      </w:r>
      <w:r w:rsidRPr="001F1F3C">
        <w:rPr>
          <w:lang w:val="en-GB"/>
        </w:rPr>
        <w:t xml:space="preserve">, which highlights recent trends in Australian energy consumption, production and trade. </w:t>
      </w:r>
    </w:p>
    <w:p w14:paraId="2E2D9868" w14:textId="77777777" w:rsidR="001F4600" w:rsidRPr="001F1F3C" w:rsidRDefault="001F4600" w:rsidP="001F4600">
      <w:pPr>
        <w:pStyle w:val="BodyText"/>
        <w:rPr>
          <w:lang w:val="en-GB"/>
        </w:rPr>
      </w:pPr>
      <w:r w:rsidRPr="001F1F3C">
        <w:rPr>
          <w:lang w:val="en-GB"/>
        </w:rPr>
        <w:t xml:space="preserve">The </w:t>
      </w:r>
      <w:r w:rsidRPr="001F1F3C">
        <w:rPr>
          <w:i/>
          <w:lang w:val="en-GB"/>
        </w:rPr>
        <w:t>Guide to the Australian Energy Statistics</w:t>
      </w:r>
      <w:r w:rsidRPr="001F1F3C">
        <w:rPr>
          <w:lang w:val="en-GB"/>
        </w:rPr>
        <w:t xml:space="preserve"> is designed to assist users in better understanding the AES and to increase the transparency of the dataset. It contains information on the publication tables, definitions and concepts, data sources and methodology, conversion factors, confidentiality and historical revisions.</w:t>
      </w:r>
    </w:p>
    <w:p w14:paraId="263C9DE2" w14:textId="0A5204C7" w:rsidR="00225088" w:rsidRPr="001F1F3C" w:rsidRDefault="00225088" w:rsidP="001F4600">
      <w:pPr>
        <w:pStyle w:val="BodyText"/>
      </w:pPr>
      <w:r w:rsidRPr="001F1F3C">
        <w:t xml:space="preserve">The </w:t>
      </w:r>
      <w:r w:rsidR="0073578C" w:rsidRPr="001F1F3C">
        <w:t xml:space="preserve">main unit </w:t>
      </w:r>
      <w:r w:rsidR="001B49C6">
        <w:t xml:space="preserve">in the </w:t>
      </w:r>
      <w:r w:rsidR="001B49C6" w:rsidRPr="001F1F3C">
        <w:t xml:space="preserve">AES </w:t>
      </w:r>
      <w:r w:rsidR="0073578C" w:rsidRPr="001F1F3C">
        <w:t>is</w:t>
      </w:r>
      <w:r w:rsidRPr="001F1F3C">
        <w:t xml:space="preserve"> </w:t>
      </w:r>
      <w:r w:rsidR="00294381" w:rsidRPr="001F1F3C">
        <w:t xml:space="preserve">the </w:t>
      </w:r>
      <w:r w:rsidRPr="001F1F3C">
        <w:t xml:space="preserve">petajoule (PJ). </w:t>
      </w:r>
      <w:r w:rsidR="006F56D5">
        <w:t>One</w:t>
      </w:r>
      <w:r w:rsidRPr="001F1F3C">
        <w:t xml:space="preserve"> </w:t>
      </w:r>
      <w:r w:rsidR="006F56D5">
        <w:t>petajoule</w:t>
      </w:r>
      <w:r w:rsidRPr="001F1F3C">
        <w:t xml:space="preserve"> = 1 x 10</w:t>
      </w:r>
      <w:r w:rsidRPr="001F1F3C">
        <w:rPr>
          <w:vertAlign w:val="superscript"/>
        </w:rPr>
        <w:t>15</w:t>
      </w:r>
      <w:r w:rsidRPr="001F1F3C">
        <w:t xml:space="preserve"> </w:t>
      </w:r>
      <w:r w:rsidR="00B30A30" w:rsidRPr="001F1F3C">
        <w:t>joules</w:t>
      </w:r>
      <w:r w:rsidRPr="001F1F3C">
        <w:t xml:space="preserve">. One petajoule, or 278 gigawatt hours, is the </w:t>
      </w:r>
      <w:r w:rsidR="0073578C" w:rsidRPr="001F1F3C">
        <w:t>heat energy content of about 43,</w:t>
      </w:r>
      <w:r w:rsidRPr="001F1F3C">
        <w:t>000 tonnes of black coal or 29 million litres of petrol</w:t>
      </w:r>
      <w:r w:rsidR="0053272A" w:rsidRPr="001F1F3C">
        <w:t>.</w:t>
      </w:r>
      <w:r w:rsidR="00CA3CB0" w:rsidRPr="001F1F3C">
        <w:t xml:space="preserve"> A car using 6</w:t>
      </w:r>
      <w:r w:rsidR="003A0C78">
        <w:t>.7 litres of petrol p</w:t>
      </w:r>
      <w:r w:rsidR="00E974F9">
        <w:t>er </w:t>
      </w:r>
      <w:r w:rsidR="003A0C78">
        <w:t>hundred </w:t>
      </w:r>
      <w:r w:rsidR="00CA3CB0" w:rsidRPr="001F1F3C">
        <w:t xml:space="preserve">kilometres could drive </w:t>
      </w:r>
      <w:r w:rsidR="00112C43">
        <w:t>approximately</w:t>
      </w:r>
      <w:r w:rsidR="00CA3CB0" w:rsidRPr="001F1F3C">
        <w:t xml:space="preserve"> 436 million kilometres on </w:t>
      </w:r>
      <w:r w:rsidR="006F56D5">
        <w:t>one</w:t>
      </w:r>
      <w:r w:rsidR="00753C16">
        <w:t> </w:t>
      </w:r>
      <w:r w:rsidR="00CA3CB0" w:rsidRPr="001F1F3C">
        <w:t>petajoule.</w:t>
      </w:r>
      <w:r w:rsidR="009C5070">
        <w:t xml:space="preserve"> One </w:t>
      </w:r>
      <w:r w:rsidR="003A0C78">
        <w:t>petajoule</w:t>
      </w:r>
      <w:r w:rsidR="009C5070">
        <w:t xml:space="preserve"> is equivalent to filling </w:t>
      </w:r>
      <w:r w:rsidR="001B49C6">
        <w:t xml:space="preserve">up </w:t>
      </w:r>
      <w:r w:rsidR="009C5070">
        <w:t>a car with a fuel tank capacity of 55 litres of petrol around 532,000 times.</w:t>
      </w:r>
    </w:p>
    <w:p w14:paraId="74EB3DA8" w14:textId="180AFCE4" w:rsidR="00432E3A" w:rsidRPr="001F1F3C" w:rsidRDefault="00243AF9" w:rsidP="00082FE6">
      <w:pPr>
        <w:pStyle w:val="Caption"/>
        <w:ind w:left="-1843"/>
      </w:pPr>
      <w:bookmarkStart w:id="38" w:name="_Toc522635712"/>
      <w:r>
        <w:lastRenderedPageBreak/>
        <w:t xml:space="preserve">Table </w:t>
      </w:r>
      <w:r w:rsidR="00941B67">
        <w:rPr>
          <w:noProof/>
        </w:rPr>
        <w:fldChar w:fldCharType="begin"/>
      </w:r>
      <w:r w:rsidR="00941B67">
        <w:rPr>
          <w:noProof/>
        </w:rPr>
        <w:instrText xml:space="preserve"> STYLEREF 1 \s </w:instrText>
      </w:r>
      <w:r w:rsidR="00941B67">
        <w:rPr>
          <w:noProof/>
        </w:rPr>
        <w:fldChar w:fldCharType="separate"/>
      </w:r>
      <w:r w:rsidR="00D72ABB">
        <w:rPr>
          <w:noProof/>
        </w:rPr>
        <w:t>1</w:t>
      </w:r>
      <w:r w:rsidR="00941B67">
        <w:rPr>
          <w:noProof/>
        </w:rPr>
        <w:fldChar w:fldCharType="end"/>
      </w:r>
      <w:r w:rsidR="00C1400E">
        <w:t>.</w:t>
      </w:r>
      <w:r w:rsidR="00941B67">
        <w:rPr>
          <w:noProof/>
        </w:rPr>
        <w:fldChar w:fldCharType="begin"/>
      </w:r>
      <w:r w:rsidR="00941B67">
        <w:rPr>
          <w:noProof/>
        </w:rPr>
        <w:instrText xml:space="preserve"> SEQ Table \* ARABIC \s 1 </w:instrText>
      </w:r>
      <w:r w:rsidR="00941B67">
        <w:rPr>
          <w:noProof/>
        </w:rPr>
        <w:fldChar w:fldCharType="separate"/>
      </w:r>
      <w:r w:rsidR="00D72ABB">
        <w:rPr>
          <w:noProof/>
        </w:rPr>
        <w:t>1</w:t>
      </w:r>
      <w:r w:rsidR="00941B67">
        <w:rPr>
          <w:noProof/>
        </w:rPr>
        <w:fldChar w:fldCharType="end"/>
      </w:r>
      <w:r>
        <w:t>:</w:t>
      </w:r>
      <w:r w:rsidR="00432E3A" w:rsidRPr="001F1F3C">
        <w:t xml:space="preserve"> 2018 </w:t>
      </w:r>
      <w:r w:rsidR="00432E3A" w:rsidRPr="001F1F3C">
        <w:rPr>
          <w:i/>
        </w:rPr>
        <w:t>Australian Energy Statistics</w:t>
      </w:r>
      <w:r w:rsidR="00432E3A" w:rsidRPr="001F1F3C">
        <w:t xml:space="preserve"> tables</w:t>
      </w:r>
      <w:bookmarkEnd w:id="38"/>
      <w:r w:rsidR="00432E3A" w:rsidRPr="001F1F3C">
        <w:t xml:space="preserve"> </w:t>
      </w:r>
    </w:p>
    <w:tbl>
      <w:tblPr>
        <w:tblW w:w="6250" w:type="pct"/>
        <w:tblInd w:w="-1877" w:type="dxa"/>
        <w:shd w:val="clear" w:color="auto" w:fill="CAE7F3"/>
        <w:tblLook w:val="0500" w:firstRow="0" w:lastRow="0" w:firstColumn="0" w:lastColumn="1" w:noHBand="0" w:noVBand="1"/>
        <w:tblCaption w:val="Table 1: 2014 Australian Energy Statistics tables"/>
        <w:tblDescription w:val="List of tables that comprise the 2014 Australian Energy Statistics."/>
      </w:tblPr>
      <w:tblGrid>
        <w:gridCol w:w="1451"/>
        <w:gridCol w:w="7167"/>
      </w:tblGrid>
      <w:tr w:rsidR="00432E3A" w:rsidRPr="001F1F3C" w14:paraId="0D54A11F" w14:textId="77777777" w:rsidTr="00F402F7">
        <w:trPr>
          <w:trHeight w:val="288"/>
        </w:trPr>
        <w:tc>
          <w:tcPr>
            <w:tcW w:w="842" w:type="pct"/>
            <w:shd w:val="clear" w:color="auto" w:fill="22789A"/>
            <w:vAlign w:val="center"/>
            <w:hideMark/>
          </w:tcPr>
          <w:p w14:paraId="7FA95987" w14:textId="77777777" w:rsidR="00432E3A" w:rsidRPr="001F1F3C" w:rsidRDefault="00432E3A" w:rsidP="00A80CD6">
            <w:pPr>
              <w:pStyle w:val="Tableheader"/>
            </w:pPr>
            <w:r w:rsidRPr="001F1F3C">
              <w:t>Table name</w:t>
            </w:r>
          </w:p>
        </w:tc>
        <w:tc>
          <w:tcPr>
            <w:tcW w:w="4158" w:type="pct"/>
            <w:shd w:val="clear" w:color="auto" w:fill="22789A"/>
            <w:vAlign w:val="center"/>
            <w:hideMark/>
          </w:tcPr>
          <w:p w14:paraId="1EDC87DB" w14:textId="77777777" w:rsidR="00432E3A" w:rsidRPr="001F1F3C" w:rsidRDefault="00432E3A" w:rsidP="00A80CD6">
            <w:pPr>
              <w:pStyle w:val="Tableheader"/>
            </w:pPr>
          </w:p>
        </w:tc>
      </w:tr>
      <w:tr w:rsidR="00432E3A" w:rsidRPr="001F1F3C" w14:paraId="3CBD8202" w14:textId="77777777" w:rsidTr="00F402F7">
        <w:trPr>
          <w:trHeight w:val="288"/>
        </w:trPr>
        <w:tc>
          <w:tcPr>
            <w:tcW w:w="842" w:type="pct"/>
            <w:shd w:val="clear" w:color="auto" w:fill="CAE7F3"/>
            <w:vAlign w:val="center"/>
          </w:tcPr>
          <w:p w14:paraId="02B5DD76" w14:textId="77777777" w:rsidR="00432E3A" w:rsidRPr="001F1F3C" w:rsidRDefault="00432E3A" w:rsidP="00A80CD6">
            <w:pPr>
              <w:pStyle w:val="Tabletext"/>
            </w:pPr>
            <w:r w:rsidRPr="001F1F3C">
              <w:t>Table A</w:t>
            </w:r>
          </w:p>
        </w:tc>
        <w:tc>
          <w:tcPr>
            <w:tcW w:w="4158" w:type="pct"/>
            <w:shd w:val="clear" w:color="auto" w:fill="CAE7F3"/>
            <w:vAlign w:val="center"/>
          </w:tcPr>
          <w:p w14:paraId="15FD9804" w14:textId="77777777" w:rsidR="00432E3A" w:rsidRPr="001F1F3C" w:rsidRDefault="00432E3A" w:rsidP="00A80CD6">
            <w:pPr>
              <w:pStyle w:val="Tabletext"/>
            </w:pPr>
            <w:r w:rsidRPr="001F1F3C">
              <w:t>Australian energy supply and consumption, energy units</w:t>
            </w:r>
          </w:p>
        </w:tc>
      </w:tr>
      <w:tr w:rsidR="00432E3A" w:rsidRPr="001F1F3C" w14:paraId="0BB588C7" w14:textId="77777777" w:rsidTr="00F402F7">
        <w:trPr>
          <w:trHeight w:val="288"/>
        </w:trPr>
        <w:tc>
          <w:tcPr>
            <w:tcW w:w="842" w:type="pct"/>
            <w:shd w:val="clear" w:color="auto" w:fill="CAE7F3"/>
            <w:vAlign w:val="center"/>
          </w:tcPr>
          <w:p w14:paraId="4D316C2E" w14:textId="77777777" w:rsidR="00432E3A" w:rsidRPr="001F1F3C" w:rsidRDefault="00432E3A" w:rsidP="00A80CD6">
            <w:pPr>
              <w:pStyle w:val="Tabletext"/>
            </w:pPr>
            <w:r w:rsidRPr="001F1F3C">
              <w:t>Table B</w:t>
            </w:r>
          </w:p>
        </w:tc>
        <w:tc>
          <w:tcPr>
            <w:tcW w:w="4158" w:type="pct"/>
            <w:shd w:val="clear" w:color="auto" w:fill="CAE7F3"/>
            <w:vAlign w:val="center"/>
          </w:tcPr>
          <w:p w14:paraId="7C0FF84C" w14:textId="77777777" w:rsidR="00432E3A" w:rsidRPr="001F1F3C" w:rsidRDefault="00432E3A" w:rsidP="00A80CD6">
            <w:pPr>
              <w:pStyle w:val="Tabletext"/>
            </w:pPr>
            <w:r w:rsidRPr="001F1F3C">
              <w:t>Australian energy consumption indicators, by state, energy units</w:t>
            </w:r>
          </w:p>
        </w:tc>
      </w:tr>
      <w:tr w:rsidR="00432E3A" w:rsidRPr="001F1F3C" w14:paraId="607559BD" w14:textId="77777777" w:rsidTr="00F402F7">
        <w:trPr>
          <w:trHeight w:val="288"/>
        </w:trPr>
        <w:tc>
          <w:tcPr>
            <w:tcW w:w="842" w:type="pct"/>
            <w:shd w:val="clear" w:color="auto" w:fill="CAE7F3"/>
            <w:vAlign w:val="center"/>
          </w:tcPr>
          <w:p w14:paraId="4E4CF5DC" w14:textId="77777777" w:rsidR="00432E3A" w:rsidRPr="001F1F3C" w:rsidRDefault="00432E3A" w:rsidP="00A80CD6">
            <w:pPr>
              <w:pStyle w:val="Tabletext"/>
            </w:pPr>
            <w:r w:rsidRPr="001F1F3C">
              <w:t>Table C</w:t>
            </w:r>
          </w:p>
        </w:tc>
        <w:tc>
          <w:tcPr>
            <w:tcW w:w="4158" w:type="pct"/>
            <w:shd w:val="clear" w:color="auto" w:fill="CAE7F3"/>
            <w:vAlign w:val="center"/>
          </w:tcPr>
          <w:p w14:paraId="7980E245" w14:textId="77777777" w:rsidR="00432E3A" w:rsidRPr="001F1F3C" w:rsidRDefault="00432E3A" w:rsidP="00A80CD6">
            <w:pPr>
              <w:pStyle w:val="Tabletext"/>
            </w:pPr>
            <w:r w:rsidRPr="001F1F3C">
              <w:t>Australian total primary energy consumption, by state, by fuel, energy units</w:t>
            </w:r>
          </w:p>
        </w:tc>
      </w:tr>
      <w:tr w:rsidR="00432E3A" w:rsidRPr="001F1F3C" w14:paraId="7381642B" w14:textId="77777777" w:rsidTr="00F402F7">
        <w:trPr>
          <w:trHeight w:val="288"/>
        </w:trPr>
        <w:tc>
          <w:tcPr>
            <w:tcW w:w="842" w:type="pct"/>
            <w:shd w:val="clear" w:color="auto" w:fill="CAE7F3"/>
            <w:vAlign w:val="center"/>
          </w:tcPr>
          <w:p w14:paraId="11009E6D" w14:textId="77777777" w:rsidR="00432E3A" w:rsidRPr="001F1F3C" w:rsidRDefault="00432E3A" w:rsidP="00A80CD6">
            <w:pPr>
              <w:pStyle w:val="Tabletext"/>
            </w:pPr>
            <w:r w:rsidRPr="001F1F3C">
              <w:t>Table D</w:t>
            </w:r>
          </w:p>
        </w:tc>
        <w:tc>
          <w:tcPr>
            <w:tcW w:w="4158" w:type="pct"/>
            <w:shd w:val="clear" w:color="auto" w:fill="CAE7F3"/>
            <w:vAlign w:val="center"/>
          </w:tcPr>
          <w:p w14:paraId="5FCA6B40" w14:textId="77777777" w:rsidR="00432E3A" w:rsidRPr="001F1F3C" w:rsidRDefault="00432E3A" w:rsidP="00A80CD6">
            <w:pPr>
              <w:pStyle w:val="Tabletext"/>
            </w:pPr>
            <w:r w:rsidRPr="001F1F3C">
              <w:t>Australian total primary energy consumption, by state, by detailed fuel, energy units</w:t>
            </w:r>
          </w:p>
        </w:tc>
      </w:tr>
      <w:tr w:rsidR="00432E3A" w:rsidRPr="001F1F3C" w14:paraId="29247A22" w14:textId="77777777" w:rsidTr="00F402F7">
        <w:trPr>
          <w:trHeight w:val="288"/>
        </w:trPr>
        <w:tc>
          <w:tcPr>
            <w:tcW w:w="842" w:type="pct"/>
            <w:shd w:val="clear" w:color="auto" w:fill="CAE7F3"/>
            <w:vAlign w:val="center"/>
          </w:tcPr>
          <w:p w14:paraId="45ECB15E" w14:textId="77777777" w:rsidR="00432E3A" w:rsidRPr="001F1F3C" w:rsidRDefault="00432E3A" w:rsidP="00A80CD6">
            <w:pPr>
              <w:pStyle w:val="Tabletext"/>
            </w:pPr>
            <w:r w:rsidRPr="001F1F3C">
              <w:t>Table E</w:t>
            </w:r>
          </w:p>
        </w:tc>
        <w:tc>
          <w:tcPr>
            <w:tcW w:w="4158" w:type="pct"/>
            <w:shd w:val="clear" w:color="auto" w:fill="CAE7F3"/>
            <w:vAlign w:val="center"/>
          </w:tcPr>
          <w:p w14:paraId="245D44C8" w14:textId="77777777" w:rsidR="00432E3A" w:rsidRPr="001F1F3C" w:rsidRDefault="00432E3A" w:rsidP="00A80CD6">
            <w:pPr>
              <w:pStyle w:val="Tabletext"/>
            </w:pPr>
            <w:r w:rsidRPr="001F1F3C">
              <w:t>Australian total net energy consumption, by state, by industry, energy units</w:t>
            </w:r>
          </w:p>
        </w:tc>
      </w:tr>
      <w:tr w:rsidR="00432E3A" w:rsidRPr="001F1F3C" w14:paraId="5B74629F" w14:textId="77777777" w:rsidTr="00F402F7">
        <w:trPr>
          <w:trHeight w:val="288"/>
        </w:trPr>
        <w:tc>
          <w:tcPr>
            <w:tcW w:w="842" w:type="pct"/>
            <w:shd w:val="clear" w:color="auto" w:fill="CAE7F3"/>
            <w:vAlign w:val="center"/>
          </w:tcPr>
          <w:p w14:paraId="776E3D25" w14:textId="77777777" w:rsidR="00432E3A" w:rsidRPr="001F1F3C" w:rsidRDefault="00432E3A" w:rsidP="00A80CD6">
            <w:pPr>
              <w:pStyle w:val="Tabletext"/>
            </w:pPr>
            <w:r w:rsidRPr="001F1F3C">
              <w:t>Table F</w:t>
            </w:r>
          </w:p>
        </w:tc>
        <w:tc>
          <w:tcPr>
            <w:tcW w:w="4158" w:type="pct"/>
            <w:shd w:val="clear" w:color="auto" w:fill="CAE7F3"/>
            <w:vAlign w:val="center"/>
          </w:tcPr>
          <w:p w14:paraId="5B2CA9A1" w14:textId="77777777" w:rsidR="00432E3A" w:rsidRPr="001F1F3C" w:rsidRDefault="00432E3A" w:rsidP="00A80CD6">
            <w:pPr>
              <w:pStyle w:val="Tabletext"/>
            </w:pPr>
            <w:r w:rsidRPr="001F1F3C">
              <w:t>Australian energy consumption, by state, by industry, by fuel, energy units</w:t>
            </w:r>
          </w:p>
        </w:tc>
      </w:tr>
      <w:tr w:rsidR="00432E3A" w:rsidRPr="001F1F3C" w14:paraId="1D46812A" w14:textId="77777777" w:rsidTr="00F402F7">
        <w:trPr>
          <w:trHeight w:val="288"/>
        </w:trPr>
        <w:tc>
          <w:tcPr>
            <w:tcW w:w="842" w:type="pct"/>
            <w:shd w:val="clear" w:color="auto" w:fill="CAE7F3"/>
            <w:vAlign w:val="center"/>
          </w:tcPr>
          <w:p w14:paraId="1AF86580" w14:textId="77777777" w:rsidR="00432E3A" w:rsidRPr="001F1F3C" w:rsidRDefault="00432E3A" w:rsidP="00A80CD6">
            <w:pPr>
              <w:pStyle w:val="Tabletext"/>
            </w:pPr>
            <w:r w:rsidRPr="001F1F3C">
              <w:t>Table G</w:t>
            </w:r>
          </w:p>
        </w:tc>
        <w:tc>
          <w:tcPr>
            <w:tcW w:w="4158" w:type="pct"/>
            <w:shd w:val="clear" w:color="auto" w:fill="CAE7F3"/>
            <w:vAlign w:val="center"/>
          </w:tcPr>
          <w:p w14:paraId="465A9D04" w14:textId="77777777" w:rsidR="00432E3A" w:rsidRPr="001F1F3C" w:rsidRDefault="00432E3A" w:rsidP="00A80CD6">
            <w:pPr>
              <w:pStyle w:val="Tabletext"/>
            </w:pPr>
            <w:r w:rsidRPr="001F1F3C">
              <w:t>Australian energy consumption, by state, by fuel, physical units</w:t>
            </w:r>
          </w:p>
        </w:tc>
      </w:tr>
      <w:tr w:rsidR="00432E3A" w:rsidRPr="001F1F3C" w14:paraId="45D99E3F" w14:textId="77777777" w:rsidTr="00F402F7">
        <w:trPr>
          <w:trHeight w:val="288"/>
        </w:trPr>
        <w:tc>
          <w:tcPr>
            <w:tcW w:w="842" w:type="pct"/>
            <w:shd w:val="clear" w:color="auto" w:fill="CAE7F3"/>
            <w:vAlign w:val="center"/>
          </w:tcPr>
          <w:p w14:paraId="34D5F283" w14:textId="77777777" w:rsidR="00432E3A" w:rsidRPr="001F1F3C" w:rsidRDefault="00432E3A" w:rsidP="00A80CD6">
            <w:pPr>
              <w:pStyle w:val="Tabletext"/>
            </w:pPr>
            <w:r w:rsidRPr="001F1F3C">
              <w:t>Table H</w:t>
            </w:r>
          </w:p>
        </w:tc>
        <w:tc>
          <w:tcPr>
            <w:tcW w:w="4158" w:type="pct"/>
            <w:shd w:val="clear" w:color="auto" w:fill="CAE7F3"/>
            <w:vAlign w:val="center"/>
          </w:tcPr>
          <w:p w14:paraId="0EC565A8" w14:textId="77777777" w:rsidR="00432E3A" w:rsidRPr="001F1F3C" w:rsidRDefault="00432E3A" w:rsidP="00A80CD6">
            <w:pPr>
              <w:pStyle w:val="Tabletext"/>
            </w:pPr>
            <w:r w:rsidRPr="001F1F3C">
              <w:t>Australian total final energy consumption, by fuel, by industry, energy units</w:t>
            </w:r>
          </w:p>
        </w:tc>
      </w:tr>
      <w:tr w:rsidR="00432E3A" w:rsidRPr="001F1F3C" w14:paraId="63EDE59C" w14:textId="77777777" w:rsidTr="00F402F7">
        <w:trPr>
          <w:trHeight w:val="288"/>
        </w:trPr>
        <w:tc>
          <w:tcPr>
            <w:tcW w:w="842" w:type="pct"/>
            <w:shd w:val="clear" w:color="auto" w:fill="CAE7F3"/>
            <w:vAlign w:val="center"/>
          </w:tcPr>
          <w:p w14:paraId="4898A3EA" w14:textId="77777777" w:rsidR="00432E3A" w:rsidRPr="001F1F3C" w:rsidRDefault="00432E3A" w:rsidP="00A80CD6">
            <w:pPr>
              <w:pStyle w:val="Tabletext"/>
            </w:pPr>
            <w:r w:rsidRPr="001F1F3C">
              <w:t>Table I</w:t>
            </w:r>
          </w:p>
        </w:tc>
        <w:tc>
          <w:tcPr>
            <w:tcW w:w="4158" w:type="pct"/>
            <w:shd w:val="clear" w:color="auto" w:fill="CAE7F3"/>
            <w:vAlign w:val="center"/>
          </w:tcPr>
          <w:p w14:paraId="22D5175C" w14:textId="77777777" w:rsidR="00432E3A" w:rsidRPr="001F1F3C" w:rsidRDefault="00432E3A" w:rsidP="00A80CD6">
            <w:pPr>
              <w:pStyle w:val="Tabletext"/>
            </w:pPr>
            <w:r w:rsidRPr="001F1F3C">
              <w:t>Australian production of primary fuels, by state, physical units</w:t>
            </w:r>
          </w:p>
        </w:tc>
      </w:tr>
      <w:tr w:rsidR="00432E3A" w:rsidRPr="001F1F3C" w14:paraId="309D7833" w14:textId="77777777" w:rsidTr="00F402F7">
        <w:trPr>
          <w:trHeight w:val="288"/>
        </w:trPr>
        <w:tc>
          <w:tcPr>
            <w:tcW w:w="842" w:type="pct"/>
            <w:shd w:val="clear" w:color="auto" w:fill="CAE7F3"/>
            <w:vAlign w:val="center"/>
          </w:tcPr>
          <w:p w14:paraId="388E6C90" w14:textId="77777777" w:rsidR="00432E3A" w:rsidRPr="001F1F3C" w:rsidRDefault="00432E3A" w:rsidP="00A80CD6">
            <w:pPr>
              <w:pStyle w:val="Tabletext"/>
            </w:pPr>
            <w:r w:rsidRPr="001F1F3C">
              <w:t>Table J</w:t>
            </w:r>
          </w:p>
        </w:tc>
        <w:tc>
          <w:tcPr>
            <w:tcW w:w="4158" w:type="pct"/>
            <w:shd w:val="clear" w:color="auto" w:fill="CAE7F3"/>
            <w:vAlign w:val="center"/>
          </w:tcPr>
          <w:p w14:paraId="4AE79073" w14:textId="77777777" w:rsidR="00432E3A" w:rsidRPr="001F1F3C" w:rsidRDefault="00432E3A" w:rsidP="00A80CD6">
            <w:pPr>
              <w:pStyle w:val="Tabletext"/>
            </w:pPr>
            <w:r w:rsidRPr="001F1F3C">
              <w:t>Australian energy supply and trade, by fuel type, energy units</w:t>
            </w:r>
          </w:p>
        </w:tc>
      </w:tr>
      <w:tr w:rsidR="00432E3A" w:rsidRPr="001F1F3C" w14:paraId="1BCB59FA" w14:textId="77777777" w:rsidTr="00F402F7">
        <w:trPr>
          <w:trHeight w:val="288"/>
        </w:trPr>
        <w:tc>
          <w:tcPr>
            <w:tcW w:w="842" w:type="pct"/>
            <w:shd w:val="clear" w:color="auto" w:fill="CAE7F3"/>
            <w:vAlign w:val="center"/>
          </w:tcPr>
          <w:p w14:paraId="24191000" w14:textId="77777777" w:rsidR="00432E3A" w:rsidRPr="00123630" w:rsidRDefault="00432E3A" w:rsidP="00A80CD6">
            <w:pPr>
              <w:pStyle w:val="Tabletext"/>
              <w:rPr>
                <w:highlight w:val="yellow"/>
              </w:rPr>
            </w:pPr>
            <w:r w:rsidRPr="00F402F7">
              <w:t>Table K</w:t>
            </w:r>
          </w:p>
        </w:tc>
        <w:tc>
          <w:tcPr>
            <w:tcW w:w="4158" w:type="pct"/>
            <w:shd w:val="clear" w:color="auto" w:fill="CAE7F3"/>
            <w:vAlign w:val="center"/>
          </w:tcPr>
          <w:p w14:paraId="708790CF" w14:textId="55BA6A8C" w:rsidR="00432E3A" w:rsidRPr="00F402F7" w:rsidRDefault="006E70B9">
            <w:pPr>
              <w:pStyle w:val="Tabletext"/>
              <w:rPr>
                <w:highlight w:val="yellow"/>
              </w:rPr>
            </w:pPr>
            <w:r>
              <w:t>Australian</w:t>
            </w:r>
            <w:r w:rsidR="00082FE6" w:rsidRPr="00F402F7">
              <w:t xml:space="preserve"> energy consu</w:t>
            </w:r>
            <w:r>
              <w:t>mption, by state, by</w:t>
            </w:r>
            <w:r w:rsidR="00082FE6" w:rsidRPr="00F402F7">
              <w:t xml:space="preserve"> industry, </w:t>
            </w:r>
            <w:r>
              <w:t xml:space="preserve">selected fuels, </w:t>
            </w:r>
            <w:r w:rsidR="00082FE6" w:rsidRPr="00F402F7">
              <w:t>energy units</w:t>
            </w:r>
          </w:p>
        </w:tc>
      </w:tr>
      <w:tr w:rsidR="00432E3A" w:rsidRPr="001F1F3C" w14:paraId="3CF27AFB" w14:textId="77777777" w:rsidTr="00F402F7">
        <w:trPr>
          <w:trHeight w:val="288"/>
        </w:trPr>
        <w:tc>
          <w:tcPr>
            <w:tcW w:w="842" w:type="pct"/>
            <w:shd w:val="clear" w:color="auto" w:fill="CAE7F3"/>
            <w:vAlign w:val="center"/>
          </w:tcPr>
          <w:p w14:paraId="63477A33" w14:textId="77777777" w:rsidR="00432E3A" w:rsidRPr="001F1F3C" w:rsidRDefault="00432E3A" w:rsidP="00A80CD6">
            <w:pPr>
              <w:pStyle w:val="Tabletext"/>
            </w:pPr>
            <w:r w:rsidRPr="001F1F3C">
              <w:t>Table L</w:t>
            </w:r>
          </w:p>
        </w:tc>
        <w:tc>
          <w:tcPr>
            <w:tcW w:w="4158" w:type="pct"/>
            <w:shd w:val="clear" w:color="auto" w:fill="CAE7F3"/>
            <w:vAlign w:val="center"/>
          </w:tcPr>
          <w:p w14:paraId="4827E113" w14:textId="77777777" w:rsidR="00432E3A" w:rsidRPr="001F1F3C" w:rsidRDefault="00432E3A" w:rsidP="00A80CD6">
            <w:pPr>
              <w:pStyle w:val="Tabletext"/>
            </w:pPr>
            <w:r w:rsidRPr="001F1F3C">
              <w:t>Australian consumption of electricity, by state, physical units</w:t>
            </w:r>
          </w:p>
        </w:tc>
      </w:tr>
      <w:tr w:rsidR="00432E3A" w:rsidRPr="001F1F3C" w14:paraId="5E86D8B9" w14:textId="77777777" w:rsidTr="00F402F7">
        <w:trPr>
          <w:trHeight w:val="288"/>
        </w:trPr>
        <w:tc>
          <w:tcPr>
            <w:tcW w:w="842" w:type="pct"/>
            <w:shd w:val="clear" w:color="auto" w:fill="CAE7F3"/>
            <w:vAlign w:val="center"/>
          </w:tcPr>
          <w:p w14:paraId="3D64CA4C" w14:textId="77777777" w:rsidR="00432E3A" w:rsidRPr="001F1F3C" w:rsidRDefault="00432E3A" w:rsidP="00A80CD6">
            <w:pPr>
              <w:pStyle w:val="Tabletext"/>
            </w:pPr>
            <w:r w:rsidRPr="001F1F3C">
              <w:t>Table M</w:t>
            </w:r>
          </w:p>
        </w:tc>
        <w:tc>
          <w:tcPr>
            <w:tcW w:w="4158" w:type="pct"/>
            <w:shd w:val="clear" w:color="auto" w:fill="CAE7F3"/>
            <w:vAlign w:val="center"/>
          </w:tcPr>
          <w:p w14:paraId="5EB19AA7" w14:textId="77777777" w:rsidR="00432E3A" w:rsidRPr="001F1F3C" w:rsidRDefault="00432E3A" w:rsidP="00A80CD6">
            <w:pPr>
              <w:pStyle w:val="Tabletext"/>
            </w:pPr>
            <w:r w:rsidRPr="001F1F3C">
              <w:t>Australian energy imports, by fuel type, physical units</w:t>
            </w:r>
          </w:p>
        </w:tc>
      </w:tr>
      <w:tr w:rsidR="00432E3A" w:rsidRPr="001F1F3C" w14:paraId="2E28E8F8" w14:textId="77777777" w:rsidTr="00F402F7">
        <w:trPr>
          <w:trHeight w:val="288"/>
        </w:trPr>
        <w:tc>
          <w:tcPr>
            <w:tcW w:w="842" w:type="pct"/>
            <w:shd w:val="clear" w:color="auto" w:fill="CAE7F3"/>
            <w:vAlign w:val="center"/>
          </w:tcPr>
          <w:p w14:paraId="76352C29" w14:textId="77777777" w:rsidR="00432E3A" w:rsidRPr="001F1F3C" w:rsidRDefault="00432E3A" w:rsidP="00A80CD6">
            <w:pPr>
              <w:pStyle w:val="Tabletext"/>
            </w:pPr>
            <w:r w:rsidRPr="001F1F3C">
              <w:t>Table N</w:t>
            </w:r>
          </w:p>
        </w:tc>
        <w:tc>
          <w:tcPr>
            <w:tcW w:w="4158" w:type="pct"/>
            <w:shd w:val="clear" w:color="auto" w:fill="CAE7F3"/>
            <w:vAlign w:val="center"/>
          </w:tcPr>
          <w:p w14:paraId="70EC23DE" w14:textId="77777777" w:rsidR="00432E3A" w:rsidRPr="001F1F3C" w:rsidRDefault="00432E3A" w:rsidP="00A80CD6">
            <w:pPr>
              <w:pStyle w:val="Tabletext"/>
            </w:pPr>
            <w:r w:rsidRPr="001F1F3C">
              <w:t>Australian energy exports, by fuel type, physical units</w:t>
            </w:r>
          </w:p>
        </w:tc>
      </w:tr>
      <w:tr w:rsidR="00432E3A" w:rsidRPr="001F1F3C" w14:paraId="3D91EDCD" w14:textId="77777777" w:rsidTr="00F402F7">
        <w:trPr>
          <w:trHeight w:val="288"/>
        </w:trPr>
        <w:tc>
          <w:tcPr>
            <w:tcW w:w="842" w:type="pct"/>
            <w:shd w:val="clear" w:color="auto" w:fill="CAE7F3"/>
            <w:vAlign w:val="center"/>
          </w:tcPr>
          <w:p w14:paraId="727E4C88" w14:textId="77777777" w:rsidR="00432E3A" w:rsidRPr="001F1F3C" w:rsidRDefault="00432E3A" w:rsidP="00A80CD6">
            <w:pPr>
              <w:pStyle w:val="Tabletext"/>
            </w:pPr>
            <w:r w:rsidRPr="001F1F3C">
              <w:t>Table O</w:t>
            </w:r>
          </w:p>
        </w:tc>
        <w:tc>
          <w:tcPr>
            <w:tcW w:w="4158" w:type="pct"/>
            <w:shd w:val="clear" w:color="auto" w:fill="CAE7F3"/>
            <w:vAlign w:val="center"/>
          </w:tcPr>
          <w:p w14:paraId="724AE075" w14:textId="77777777" w:rsidR="00432E3A" w:rsidRPr="001F1F3C" w:rsidRDefault="00432E3A" w:rsidP="00A80CD6">
            <w:pPr>
              <w:pStyle w:val="Tabletext"/>
            </w:pPr>
            <w:r w:rsidRPr="001F1F3C">
              <w:t>Australian electricity generation, by state, by fuel type, physical units</w:t>
            </w:r>
          </w:p>
        </w:tc>
      </w:tr>
      <w:tr w:rsidR="00432E3A" w:rsidRPr="001F1F3C" w14:paraId="1F8EE6D1" w14:textId="77777777" w:rsidTr="00F402F7">
        <w:trPr>
          <w:trHeight w:val="288"/>
        </w:trPr>
        <w:tc>
          <w:tcPr>
            <w:tcW w:w="842" w:type="pct"/>
            <w:shd w:val="clear" w:color="auto" w:fill="CAE7F3"/>
            <w:vAlign w:val="center"/>
          </w:tcPr>
          <w:p w14:paraId="225CB0B5" w14:textId="77777777" w:rsidR="00432E3A" w:rsidRPr="001F1F3C" w:rsidRDefault="00432E3A" w:rsidP="00A80CD6">
            <w:pPr>
              <w:pStyle w:val="Tabletext"/>
            </w:pPr>
            <w:r w:rsidRPr="001F1F3C">
              <w:t>Table P</w:t>
            </w:r>
          </w:p>
        </w:tc>
        <w:tc>
          <w:tcPr>
            <w:tcW w:w="4158" w:type="pct"/>
            <w:shd w:val="clear" w:color="auto" w:fill="CAE7F3"/>
            <w:vAlign w:val="center"/>
          </w:tcPr>
          <w:p w14:paraId="58F3E46C" w14:textId="77777777" w:rsidR="00432E3A" w:rsidRPr="001F1F3C" w:rsidRDefault="00432E3A" w:rsidP="00A80CD6">
            <w:pPr>
              <w:pStyle w:val="Tabletext"/>
            </w:pPr>
            <w:r w:rsidRPr="001F1F3C">
              <w:t>Australian consumption and production of coal, by state, physical units</w:t>
            </w:r>
          </w:p>
        </w:tc>
      </w:tr>
      <w:tr w:rsidR="00432E3A" w:rsidRPr="001F1F3C" w14:paraId="58181F54" w14:textId="77777777" w:rsidTr="00F402F7">
        <w:trPr>
          <w:trHeight w:val="288"/>
        </w:trPr>
        <w:tc>
          <w:tcPr>
            <w:tcW w:w="842" w:type="pct"/>
            <w:shd w:val="clear" w:color="auto" w:fill="CAE7F3"/>
            <w:vAlign w:val="center"/>
          </w:tcPr>
          <w:p w14:paraId="4839A2C3" w14:textId="77777777" w:rsidR="00432E3A" w:rsidRPr="001F1F3C" w:rsidRDefault="00432E3A" w:rsidP="00A80CD6">
            <w:pPr>
              <w:pStyle w:val="Tabletext"/>
            </w:pPr>
            <w:r w:rsidRPr="001F1F3C">
              <w:t>Table Q</w:t>
            </w:r>
          </w:p>
        </w:tc>
        <w:tc>
          <w:tcPr>
            <w:tcW w:w="4158" w:type="pct"/>
            <w:shd w:val="clear" w:color="auto" w:fill="CAE7F3"/>
            <w:vAlign w:val="center"/>
          </w:tcPr>
          <w:p w14:paraId="6625ED93" w14:textId="77777777" w:rsidR="00432E3A" w:rsidRPr="001F1F3C" w:rsidRDefault="00432E3A" w:rsidP="00A80CD6">
            <w:pPr>
              <w:pStyle w:val="Tabletext"/>
            </w:pPr>
            <w:r w:rsidRPr="001F1F3C">
              <w:t>Australian consumption and production of natural gas, by state, physical units</w:t>
            </w:r>
          </w:p>
        </w:tc>
      </w:tr>
      <w:tr w:rsidR="00432E3A" w:rsidRPr="001F1F3C" w14:paraId="53CEA32E" w14:textId="77777777" w:rsidTr="00F402F7">
        <w:trPr>
          <w:trHeight w:val="288"/>
        </w:trPr>
        <w:tc>
          <w:tcPr>
            <w:tcW w:w="842" w:type="pct"/>
            <w:shd w:val="clear" w:color="auto" w:fill="CAE7F3"/>
            <w:vAlign w:val="center"/>
          </w:tcPr>
          <w:p w14:paraId="3076CE2E" w14:textId="77777777" w:rsidR="00432E3A" w:rsidRPr="001F1F3C" w:rsidRDefault="00432E3A" w:rsidP="00A80CD6">
            <w:pPr>
              <w:pStyle w:val="Tabletext"/>
            </w:pPr>
            <w:r w:rsidRPr="001F1F3C">
              <w:t>Table R</w:t>
            </w:r>
          </w:p>
        </w:tc>
        <w:tc>
          <w:tcPr>
            <w:tcW w:w="4158" w:type="pct"/>
            <w:shd w:val="clear" w:color="auto" w:fill="CAE7F3"/>
            <w:vAlign w:val="center"/>
          </w:tcPr>
          <w:p w14:paraId="58D08D6E" w14:textId="77777777" w:rsidR="00432E3A" w:rsidRPr="001F1F3C" w:rsidRDefault="00432E3A" w:rsidP="00A80CD6">
            <w:pPr>
              <w:pStyle w:val="Tabletext"/>
            </w:pPr>
            <w:r w:rsidRPr="001F1F3C">
              <w:t>Australian production of natural gas, by type and state, energy units</w:t>
            </w:r>
          </w:p>
        </w:tc>
      </w:tr>
      <w:tr w:rsidR="00432E3A" w:rsidRPr="001F1F3C" w14:paraId="28D264C2" w14:textId="77777777" w:rsidTr="00F402F7">
        <w:trPr>
          <w:trHeight w:val="288"/>
        </w:trPr>
        <w:tc>
          <w:tcPr>
            <w:tcW w:w="842" w:type="pct"/>
            <w:shd w:val="clear" w:color="auto" w:fill="CAE7F3"/>
            <w:vAlign w:val="center"/>
          </w:tcPr>
          <w:p w14:paraId="3956FCF8" w14:textId="77777777" w:rsidR="00432E3A" w:rsidRPr="001F1F3C" w:rsidRDefault="00432E3A" w:rsidP="00A80CD6">
            <w:pPr>
              <w:pStyle w:val="Tabletext"/>
            </w:pPr>
            <w:r w:rsidRPr="001F1F3C">
              <w:t>Table S</w:t>
            </w:r>
          </w:p>
        </w:tc>
        <w:tc>
          <w:tcPr>
            <w:tcW w:w="4158" w:type="pct"/>
            <w:shd w:val="clear" w:color="auto" w:fill="CAE7F3"/>
            <w:vAlign w:val="center"/>
          </w:tcPr>
          <w:p w14:paraId="59338717" w14:textId="77777777" w:rsidR="00432E3A" w:rsidRPr="001F1F3C" w:rsidRDefault="00432E3A" w:rsidP="00A80CD6">
            <w:pPr>
              <w:pStyle w:val="Tabletext"/>
            </w:pPr>
            <w:r w:rsidRPr="001F1F3C">
              <w:t>Australian production and exports of uranium, physical and energy units</w:t>
            </w:r>
          </w:p>
        </w:tc>
      </w:tr>
    </w:tbl>
    <w:p w14:paraId="35BBB7C1" w14:textId="0B296575" w:rsidR="00675346" w:rsidRPr="00675346" w:rsidRDefault="00675346" w:rsidP="006C5B34">
      <w:pPr>
        <w:pStyle w:val="BodyText"/>
        <w:ind w:left="-1843"/>
      </w:pPr>
    </w:p>
    <w:p w14:paraId="63FD69F2" w14:textId="7E79FAFD" w:rsidR="00432E3A" w:rsidRPr="001F1F3C" w:rsidRDefault="006C5B34" w:rsidP="006C5B34">
      <w:pPr>
        <w:spacing w:after="200" w:line="276" w:lineRule="auto"/>
        <w:ind w:left="-1843"/>
        <w:jc w:val="left"/>
        <w:rPr>
          <w:rFonts w:asciiTheme="minorHAnsi" w:hAnsiTheme="minorHAnsi"/>
          <w:lang w:val="en-GB"/>
        </w:rPr>
      </w:pPr>
      <w:r>
        <w:rPr>
          <w:noProof/>
          <w:lang w:eastAsia="en-AU"/>
        </w:rPr>
        <w:drawing>
          <wp:inline distT="0" distB="0" distL="0" distR="0" wp14:anchorId="289EB06D" wp14:editId="1F9460CA">
            <wp:extent cx="5448300" cy="2961833"/>
            <wp:effectExtent l="0" t="0" r="0" b="0"/>
            <wp:docPr id="9" name="Picture 9" title="One petajoule expla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NR027.0818_One petajoule explained_V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525768" cy="3003947"/>
                    </a:xfrm>
                    <a:prstGeom prst="rect">
                      <a:avLst/>
                    </a:prstGeom>
                  </pic:spPr>
                </pic:pic>
              </a:graphicData>
            </a:graphic>
          </wp:inline>
        </w:drawing>
      </w:r>
      <w:r w:rsidR="00432E3A" w:rsidRPr="001F1F3C">
        <w:rPr>
          <w:lang w:val="en-GB"/>
        </w:rPr>
        <w:br w:type="page"/>
      </w:r>
    </w:p>
    <w:p w14:paraId="55EC6E64" w14:textId="77777777" w:rsidR="001F4600" w:rsidRPr="001F1F3C" w:rsidRDefault="001F4600" w:rsidP="001F4600">
      <w:pPr>
        <w:pStyle w:val="Heading1"/>
      </w:pPr>
      <w:bookmarkStart w:id="39" w:name="_Toc392157281"/>
      <w:bookmarkStart w:id="40" w:name="_Toc427614394"/>
      <w:bookmarkStart w:id="41" w:name="_Toc428130028"/>
      <w:bookmarkStart w:id="42" w:name="_Toc522197021"/>
      <w:bookmarkStart w:id="43" w:name="_Toc522633184"/>
      <w:r w:rsidRPr="001F1F3C">
        <w:lastRenderedPageBreak/>
        <w:t>Energy consumption</w:t>
      </w:r>
      <w:bookmarkEnd w:id="39"/>
      <w:bookmarkEnd w:id="40"/>
      <w:bookmarkEnd w:id="41"/>
      <w:bookmarkEnd w:id="42"/>
      <w:bookmarkEnd w:id="43"/>
    </w:p>
    <w:p w14:paraId="6A53E74A" w14:textId="6DF9D3CC" w:rsidR="001F4600" w:rsidRPr="001F1F3C" w:rsidRDefault="001F4600" w:rsidP="001F4600">
      <w:pPr>
        <w:pStyle w:val="BodyText"/>
        <w:rPr>
          <w:szCs w:val="20"/>
        </w:rPr>
      </w:pPr>
      <w:r w:rsidRPr="001F1F3C">
        <w:t>E</w:t>
      </w:r>
      <w:r w:rsidR="00513589" w:rsidRPr="001F1F3C">
        <w:t xml:space="preserve">nergy consumption measures the </w:t>
      </w:r>
      <w:r w:rsidRPr="001F1F3C">
        <w:t xml:space="preserve">amount of energy used in the Australian economy. It is equal to </w:t>
      </w:r>
      <w:r w:rsidR="00B6301F">
        <w:t>domestic</w:t>
      </w:r>
      <w:r w:rsidRPr="001F1F3C">
        <w:t xml:space="preserve"> production plus imports minus exports (and changes in stocks). It includes energy consumed in energy </w:t>
      </w:r>
      <w:r w:rsidRPr="001F1F3C">
        <w:rPr>
          <w:szCs w:val="20"/>
        </w:rPr>
        <w:t xml:space="preserve">conversion activities </w:t>
      </w:r>
      <w:r w:rsidR="003C69BC" w:rsidRPr="001F1F3C">
        <w:rPr>
          <w:szCs w:val="20"/>
        </w:rPr>
        <w:t>(</w:t>
      </w:r>
      <w:r w:rsidRPr="001F1F3C">
        <w:rPr>
          <w:szCs w:val="20"/>
        </w:rPr>
        <w:t>such as electricity generation and petroleum refining</w:t>
      </w:r>
      <w:r w:rsidR="003C69BC" w:rsidRPr="001F1F3C">
        <w:rPr>
          <w:szCs w:val="20"/>
        </w:rPr>
        <w:t>)</w:t>
      </w:r>
      <w:r w:rsidRPr="001F1F3C">
        <w:rPr>
          <w:szCs w:val="20"/>
        </w:rPr>
        <w:t xml:space="preserve">, but excludes derived </w:t>
      </w:r>
      <w:r w:rsidR="003C69BC" w:rsidRPr="001F1F3C">
        <w:rPr>
          <w:szCs w:val="20"/>
        </w:rPr>
        <w:t xml:space="preserve">or secondary </w:t>
      </w:r>
      <w:r w:rsidRPr="001F1F3C">
        <w:rPr>
          <w:szCs w:val="20"/>
        </w:rPr>
        <w:t xml:space="preserve">fuels </w:t>
      </w:r>
      <w:r w:rsidR="003C69BC" w:rsidRPr="001F1F3C">
        <w:rPr>
          <w:szCs w:val="20"/>
        </w:rPr>
        <w:t xml:space="preserve">(such as electricity and refined oil products) </w:t>
      </w:r>
      <w:r w:rsidRPr="001F1F3C">
        <w:rPr>
          <w:szCs w:val="20"/>
        </w:rPr>
        <w:t>produced domestically to avoid double counting</w:t>
      </w:r>
      <w:r w:rsidR="003C69BC" w:rsidRPr="001F1F3C">
        <w:rPr>
          <w:szCs w:val="20"/>
        </w:rPr>
        <w:t xml:space="preserve"> of energy</w:t>
      </w:r>
      <w:r w:rsidRPr="001F1F3C">
        <w:rPr>
          <w:szCs w:val="20"/>
        </w:rPr>
        <w:t xml:space="preserve">. It can be referred to as total net energy consumption and is also equal to total primary energy supply. Further detail is provided in Department of </w:t>
      </w:r>
      <w:r w:rsidR="000939AB">
        <w:rPr>
          <w:szCs w:val="20"/>
        </w:rPr>
        <w:t xml:space="preserve">the </w:t>
      </w:r>
      <w:r w:rsidR="00423FA7" w:rsidRPr="001F1F3C">
        <w:rPr>
          <w:szCs w:val="20"/>
        </w:rPr>
        <w:t>Environment and Energy</w:t>
      </w:r>
      <w:r w:rsidRPr="001F1F3C">
        <w:rPr>
          <w:szCs w:val="20"/>
        </w:rPr>
        <w:t xml:space="preserve"> (</w:t>
      </w:r>
      <w:r w:rsidR="003F2CCE" w:rsidRPr="001F1F3C">
        <w:rPr>
          <w:szCs w:val="20"/>
        </w:rPr>
        <w:t>2018</w:t>
      </w:r>
      <w:r w:rsidRPr="001F1F3C">
        <w:rPr>
          <w:szCs w:val="20"/>
        </w:rPr>
        <w:t>)</w:t>
      </w:r>
      <w:r w:rsidRPr="001F1F3C">
        <w:rPr>
          <w:i/>
          <w:szCs w:val="20"/>
        </w:rPr>
        <w:t xml:space="preserve"> Guide to the Australian Energy Statistics</w:t>
      </w:r>
      <w:r w:rsidRPr="001F1F3C">
        <w:rPr>
          <w:szCs w:val="20"/>
        </w:rPr>
        <w:t>.</w:t>
      </w:r>
    </w:p>
    <w:p w14:paraId="16A5F205" w14:textId="0F3AC40C" w:rsidR="00790D5F" w:rsidRDefault="006D1CB1" w:rsidP="006A20E2">
      <w:pPr>
        <w:pStyle w:val="BodyText"/>
        <w:rPr>
          <w:color w:val="595A5B" w:themeColor="text1"/>
          <w:szCs w:val="20"/>
        </w:rPr>
      </w:pPr>
      <w:r>
        <w:rPr>
          <w:color w:val="595A5B" w:themeColor="text1"/>
          <w:szCs w:val="20"/>
        </w:rPr>
        <w:t>E</w:t>
      </w:r>
      <w:r w:rsidR="006A20E2" w:rsidRPr="001F1F3C">
        <w:rPr>
          <w:color w:val="595A5B" w:themeColor="text1"/>
          <w:szCs w:val="20"/>
        </w:rPr>
        <w:t xml:space="preserve">nergy consumption rose by </w:t>
      </w:r>
      <w:r w:rsidR="00B4039B">
        <w:rPr>
          <w:color w:val="595A5B" w:themeColor="text1"/>
          <w:szCs w:val="20"/>
        </w:rPr>
        <w:t>1</w:t>
      </w:r>
      <w:r w:rsidR="000939AB">
        <w:rPr>
          <w:color w:val="595A5B" w:themeColor="text1"/>
          <w:szCs w:val="20"/>
        </w:rPr>
        <w:t>.1</w:t>
      </w:r>
      <w:r w:rsidR="00C9426B" w:rsidRPr="001F1F3C">
        <w:rPr>
          <w:color w:val="595A5B" w:themeColor="text1"/>
          <w:szCs w:val="20"/>
        </w:rPr>
        <w:t xml:space="preserve"> per cent </w:t>
      </w:r>
      <w:r w:rsidR="00DD7375" w:rsidRPr="001F1F3C">
        <w:rPr>
          <w:color w:val="595A5B" w:themeColor="text1"/>
          <w:szCs w:val="20"/>
        </w:rPr>
        <w:t xml:space="preserve">in </w:t>
      </w:r>
      <w:r w:rsidR="003F2CCE" w:rsidRPr="001F1F3C">
        <w:rPr>
          <w:color w:val="595A5B" w:themeColor="text1"/>
          <w:szCs w:val="20"/>
        </w:rPr>
        <w:t>2016–17</w:t>
      </w:r>
      <w:r w:rsidR="00DD7375" w:rsidRPr="001F1F3C">
        <w:rPr>
          <w:color w:val="595A5B" w:themeColor="text1"/>
          <w:szCs w:val="20"/>
        </w:rPr>
        <w:t xml:space="preserve"> </w:t>
      </w:r>
      <w:r w:rsidR="00C9426B" w:rsidRPr="001F1F3C">
        <w:rPr>
          <w:color w:val="595A5B" w:themeColor="text1"/>
          <w:szCs w:val="20"/>
        </w:rPr>
        <w:t xml:space="preserve">to </w:t>
      </w:r>
      <w:r w:rsidR="00B4039B">
        <w:rPr>
          <w:color w:val="595A5B" w:themeColor="text1"/>
          <w:szCs w:val="20"/>
        </w:rPr>
        <w:t>6,14</w:t>
      </w:r>
      <w:r w:rsidR="0075424B">
        <w:rPr>
          <w:color w:val="595A5B" w:themeColor="text1"/>
          <w:szCs w:val="20"/>
        </w:rPr>
        <w:t>6</w:t>
      </w:r>
      <w:r w:rsidR="007D116F">
        <w:rPr>
          <w:color w:val="595A5B" w:themeColor="text1"/>
          <w:szCs w:val="20"/>
        </w:rPr>
        <w:t> </w:t>
      </w:r>
      <w:r w:rsidR="00DD7375" w:rsidRPr="001F1F3C">
        <w:rPr>
          <w:color w:val="595A5B" w:themeColor="text1"/>
          <w:szCs w:val="20"/>
        </w:rPr>
        <w:t>petajoules</w:t>
      </w:r>
      <w:r w:rsidR="006337E4" w:rsidRPr="001F1F3C">
        <w:rPr>
          <w:color w:val="595A5B" w:themeColor="text1"/>
          <w:szCs w:val="20"/>
        </w:rPr>
        <w:t xml:space="preserve">, </w:t>
      </w:r>
      <w:r w:rsidR="006337E4" w:rsidRPr="00CB4EBE">
        <w:rPr>
          <w:color w:val="595A5B" w:themeColor="text1"/>
          <w:szCs w:val="20"/>
        </w:rPr>
        <w:t>its highest ever level</w:t>
      </w:r>
      <w:r w:rsidR="006A20E2" w:rsidRPr="000378B5">
        <w:rPr>
          <w:color w:val="595A5B" w:themeColor="text1"/>
          <w:szCs w:val="20"/>
        </w:rPr>
        <w:t xml:space="preserve">. </w:t>
      </w:r>
      <w:r w:rsidR="00DD7375" w:rsidRPr="000378B5">
        <w:rPr>
          <w:color w:val="595A5B" w:themeColor="text1"/>
          <w:szCs w:val="20"/>
        </w:rPr>
        <w:t xml:space="preserve">This compares with average growth of </w:t>
      </w:r>
      <w:r w:rsidR="003A0C78">
        <w:rPr>
          <w:color w:val="595A5B" w:themeColor="text1"/>
          <w:szCs w:val="20"/>
        </w:rPr>
        <w:t>0.8</w:t>
      </w:r>
      <w:r w:rsidR="003A0C78" w:rsidRPr="005F5D85">
        <w:rPr>
          <w:color w:val="595A5B" w:themeColor="text1"/>
          <w:szCs w:val="20"/>
        </w:rPr>
        <w:t xml:space="preserve"> per</w:t>
      </w:r>
      <w:r w:rsidR="00DD7375" w:rsidRPr="005F5D85">
        <w:rPr>
          <w:color w:val="595A5B" w:themeColor="text1"/>
          <w:szCs w:val="20"/>
        </w:rPr>
        <w:t xml:space="preserve"> cent a year over the past </w:t>
      </w:r>
      <w:r w:rsidR="00790D5F">
        <w:rPr>
          <w:color w:val="595A5B" w:themeColor="text1"/>
          <w:szCs w:val="20"/>
        </w:rPr>
        <w:t>ten years</w:t>
      </w:r>
      <w:r w:rsidR="00DD7375" w:rsidRPr="005F5D85">
        <w:rPr>
          <w:color w:val="595A5B" w:themeColor="text1"/>
          <w:szCs w:val="20"/>
        </w:rPr>
        <w:t xml:space="preserve">. </w:t>
      </w:r>
      <w:r w:rsidR="00790D5F">
        <w:rPr>
          <w:color w:val="595A5B" w:themeColor="text1"/>
          <w:szCs w:val="20"/>
        </w:rPr>
        <w:t>Growth in 2016–17 was 65 petajoules, the same amount of energy from filling a 55-litre tank of petrol 34 million times.</w:t>
      </w:r>
    </w:p>
    <w:p w14:paraId="2FDCF07A" w14:textId="146AFB86" w:rsidR="006A20E2" w:rsidRPr="001F1F3C" w:rsidRDefault="00DD7375" w:rsidP="006A20E2">
      <w:pPr>
        <w:pStyle w:val="BodyText"/>
        <w:rPr>
          <w:color w:val="595A5B" w:themeColor="text1"/>
          <w:szCs w:val="20"/>
        </w:rPr>
      </w:pPr>
      <w:r w:rsidRPr="005F5D85">
        <w:rPr>
          <w:color w:val="595A5B" w:themeColor="text1"/>
          <w:szCs w:val="20"/>
        </w:rPr>
        <w:t xml:space="preserve">In </w:t>
      </w:r>
      <w:r w:rsidR="003F2CCE" w:rsidRPr="00A727FB">
        <w:rPr>
          <w:color w:val="595A5B" w:themeColor="text1"/>
          <w:szCs w:val="20"/>
        </w:rPr>
        <w:t>2016–17</w:t>
      </w:r>
      <w:r w:rsidRPr="00B4039B">
        <w:rPr>
          <w:color w:val="595A5B" w:themeColor="text1"/>
          <w:szCs w:val="20"/>
        </w:rPr>
        <w:t>, t</w:t>
      </w:r>
      <w:r w:rsidR="00C9426B" w:rsidRPr="001F1F3C">
        <w:rPr>
          <w:color w:val="595A5B" w:themeColor="text1"/>
          <w:szCs w:val="20"/>
        </w:rPr>
        <w:t xml:space="preserve">he Australian economy grew by </w:t>
      </w:r>
      <w:r w:rsidR="00B4039B">
        <w:rPr>
          <w:color w:val="595A5B" w:themeColor="text1"/>
          <w:szCs w:val="20"/>
        </w:rPr>
        <w:t>2</w:t>
      </w:r>
      <w:r w:rsidR="0075424B">
        <w:rPr>
          <w:color w:val="595A5B" w:themeColor="text1"/>
          <w:szCs w:val="20"/>
        </w:rPr>
        <w:t>.0</w:t>
      </w:r>
      <w:r w:rsidR="00886A91" w:rsidRPr="001F1F3C">
        <w:rPr>
          <w:color w:val="595A5B" w:themeColor="text1"/>
          <w:szCs w:val="20"/>
        </w:rPr>
        <w:t xml:space="preserve"> </w:t>
      </w:r>
      <w:r w:rsidR="006A20E2" w:rsidRPr="001F1F3C">
        <w:rPr>
          <w:color w:val="595A5B" w:themeColor="text1"/>
          <w:szCs w:val="20"/>
        </w:rPr>
        <w:t>per cent to</w:t>
      </w:r>
      <w:r w:rsidR="00F45D50" w:rsidRPr="001F1F3C">
        <w:rPr>
          <w:color w:val="595A5B" w:themeColor="text1"/>
          <w:szCs w:val="20"/>
        </w:rPr>
        <w:t xml:space="preserve"> reach</w:t>
      </w:r>
      <w:r w:rsidR="006A20E2" w:rsidRPr="001F1F3C">
        <w:rPr>
          <w:color w:val="595A5B" w:themeColor="text1"/>
          <w:szCs w:val="20"/>
        </w:rPr>
        <w:t xml:space="preserve"> </w:t>
      </w:r>
      <w:r w:rsidR="00B4039B">
        <w:rPr>
          <w:color w:val="595A5B" w:themeColor="text1"/>
          <w:szCs w:val="20"/>
        </w:rPr>
        <w:t>$1.7</w:t>
      </w:r>
      <w:r w:rsidR="006A20E2" w:rsidRPr="001F1F3C">
        <w:rPr>
          <w:color w:val="595A5B" w:themeColor="text1"/>
          <w:szCs w:val="20"/>
        </w:rPr>
        <w:t xml:space="preserve"> trillion</w:t>
      </w:r>
      <w:r w:rsidR="006F56D5">
        <w:rPr>
          <w:color w:val="595A5B" w:themeColor="text1"/>
          <w:szCs w:val="20"/>
        </w:rPr>
        <w:t>. The A</w:t>
      </w:r>
      <w:r w:rsidR="006A20E2" w:rsidRPr="001F1F3C">
        <w:rPr>
          <w:color w:val="595A5B" w:themeColor="text1"/>
          <w:szCs w:val="20"/>
        </w:rPr>
        <w:t xml:space="preserve">ustralian population grew by </w:t>
      </w:r>
      <w:r w:rsidR="00A36D0F" w:rsidRPr="001F1F3C">
        <w:rPr>
          <w:color w:val="595A5B" w:themeColor="text1"/>
          <w:szCs w:val="20"/>
        </w:rPr>
        <w:t>1.</w:t>
      </w:r>
      <w:r w:rsidR="00B4039B">
        <w:rPr>
          <w:color w:val="595A5B" w:themeColor="text1"/>
          <w:szCs w:val="20"/>
        </w:rPr>
        <w:t>7</w:t>
      </w:r>
      <w:r w:rsidR="006A20E2" w:rsidRPr="001F1F3C">
        <w:rPr>
          <w:color w:val="595A5B" w:themeColor="text1"/>
          <w:szCs w:val="20"/>
        </w:rPr>
        <w:t xml:space="preserve"> per cent to </w:t>
      </w:r>
      <w:r w:rsidR="006F56D5">
        <w:rPr>
          <w:color w:val="595A5B" w:themeColor="text1"/>
          <w:szCs w:val="20"/>
        </w:rPr>
        <w:t xml:space="preserve">reach </w:t>
      </w:r>
      <w:r w:rsidR="00A36D0F" w:rsidRPr="001F1F3C">
        <w:rPr>
          <w:color w:val="595A5B" w:themeColor="text1"/>
          <w:szCs w:val="20"/>
        </w:rPr>
        <w:t>2</w:t>
      </w:r>
      <w:r w:rsidR="00B4039B">
        <w:rPr>
          <w:color w:val="595A5B" w:themeColor="text1"/>
          <w:szCs w:val="20"/>
        </w:rPr>
        <w:t>4.6</w:t>
      </w:r>
      <w:r w:rsidR="00A36D0F" w:rsidRPr="001F1F3C">
        <w:rPr>
          <w:color w:val="595A5B" w:themeColor="text1"/>
          <w:szCs w:val="20"/>
        </w:rPr>
        <w:t xml:space="preserve"> </w:t>
      </w:r>
      <w:r w:rsidR="006A20E2" w:rsidRPr="001F1F3C">
        <w:rPr>
          <w:color w:val="595A5B" w:themeColor="text1"/>
          <w:szCs w:val="20"/>
        </w:rPr>
        <w:t xml:space="preserve">million people.  </w:t>
      </w:r>
    </w:p>
    <w:p w14:paraId="4A02560E" w14:textId="77777777" w:rsidR="003C69BC" w:rsidRPr="001F1F3C" w:rsidRDefault="003C69BC" w:rsidP="003C69BC">
      <w:pPr>
        <w:pStyle w:val="Heading2"/>
      </w:pPr>
      <w:bookmarkStart w:id="44" w:name="_Toc522197022"/>
      <w:bookmarkStart w:id="45" w:name="_Toc522633185"/>
      <w:r w:rsidRPr="001F1F3C">
        <w:t>Energy productivity</w:t>
      </w:r>
      <w:bookmarkEnd w:id="44"/>
      <w:bookmarkEnd w:id="45"/>
    </w:p>
    <w:p w14:paraId="56AC39D7" w14:textId="67400E28" w:rsidR="006A20E2" w:rsidRPr="001F1F3C" w:rsidRDefault="006A20E2" w:rsidP="006A20E2">
      <w:pPr>
        <w:pStyle w:val="BodyText"/>
        <w:rPr>
          <w:color w:val="595A5B" w:themeColor="text1"/>
          <w:szCs w:val="20"/>
        </w:rPr>
      </w:pPr>
      <w:r w:rsidRPr="001F1F3C">
        <w:rPr>
          <w:color w:val="595A5B" w:themeColor="text1"/>
          <w:szCs w:val="20"/>
        </w:rPr>
        <w:t>The relationship between energy use and economic output can be described in terms of the energy intensity, or inversely</w:t>
      </w:r>
      <w:r w:rsidR="006F56D5">
        <w:rPr>
          <w:color w:val="595A5B" w:themeColor="text1"/>
          <w:szCs w:val="20"/>
        </w:rPr>
        <w:t>,</w:t>
      </w:r>
      <w:r w:rsidRPr="001F1F3C">
        <w:rPr>
          <w:color w:val="595A5B" w:themeColor="text1"/>
          <w:szCs w:val="20"/>
        </w:rPr>
        <w:t xml:space="preserve"> the energy productivity, of the Australian economy. Energy intensity measures the amount of energy used to produce a unit of economic output (</w:t>
      </w:r>
      <w:r w:rsidR="003C69BC" w:rsidRPr="001F1F3C">
        <w:rPr>
          <w:color w:val="595A5B" w:themeColor="text1"/>
          <w:szCs w:val="20"/>
        </w:rPr>
        <w:t>energy consumption</w:t>
      </w:r>
      <w:r w:rsidRPr="001F1F3C">
        <w:rPr>
          <w:color w:val="595A5B" w:themeColor="text1"/>
          <w:szCs w:val="20"/>
        </w:rPr>
        <w:t>/</w:t>
      </w:r>
      <w:r w:rsidR="003C69BC" w:rsidRPr="001F1F3C">
        <w:rPr>
          <w:color w:val="595A5B" w:themeColor="text1"/>
          <w:szCs w:val="20"/>
        </w:rPr>
        <w:t>GDP</w:t>
      </w:r>
      <w:r w:rsidRPr="001F1F3C">
        <w:rPr>
          <w:color w:val="595A5B" w:themeColor="text1"/>
          <w:szCs w:val="20"/>
        </w:rPr>
        <w:t xml:space="preserve">), </w:t>
      </w:r>
      <w:r w:rsidR="00790D5F">
        <w:rPr>
          <w:color w:val="595A5B" w:themeColor="text1"/>
          <w:szCs w:val="20"/>
        </w:rPr>
        <w:t>while</w:t>
      </w:r>
      <w:r w:rsidRPr="001F1F3C">
        <w:rPr>
          <w:color w:val="595A5B" w:themeColor="text1"/>
          <w:szCs w:val="20"/>
        </w:rPr>
        <w:t xml:space="preserve"> energy productivity measures the amount of economic output produced per unit of energy input </w:t>
      </w:r>
      <w:r w:rsidR="003C69BC" w:rsidRPr="001F1F3C">
        <w:rPr>
          <w:color w:val="595A5B" w:themeColor="text1"/>
          <w:szCs w:val="20"/>
        </w:rPr>
        <w:t>(GDP/energy consumption</w:t>
      </w:r>
      <w:r w:rsidRPr="001F1F3C">
        <w:rPr>
          <w:color w:val="595A5B" w:themeColor="text1"/>
          <w:szCs w:val="20"/>
        </w:rPr>
        <w:t xml:space="preserve">).  </w:t>
      </w:r>
    </w:p>
    <w:p w14:paraId="2833D662" w14:textId="04AD2B17" w:rsidR="001C7650" w:rsidRPr="001F1F3C" w:rsidRDefault="00243AF9" w:rsidP="00082FE6">
      <w:pPr>
        <w:pStyle w:val="Caption"/>
        <w:ind w:left="-1985"/>
      </w:pPr>
      <w:bookmarkStart w:id="46" w:name="_Toc522198888"/>
      <w:bookmarkStart w:id="47" w:name="_Toc523777416"/>
      <w:r>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rsidR="003348D2">
        <w:t>.</w:t>
      </w:r>
      <w:r w:rsidR="00941B67">
        <w:rPr>
          <w:noProof/>
        </w:rPr>
        <w:fldChar w:fldCharType="begin"/>
      </w:r>
      <w:r w:rsidR="00941B67">
        <w:rPr>
          <w:noProof/>
        </w:rPr>
        <w:instrText xml:space="preserve"> SEQ Figure \* ARABIC \s 1 </w:instrText>
      </w:r>
      <w:r w:rsidR="00941B67">
        <w:rPr>
          <w:noProof/>
        </w:rPr>
        <w:fldChar w:fldCharType="separate"/>
      </w:r>
      <w:r w:rsidR="00D72ABB">
        <w:rPr>
          <w:noProof/>
        </w:rPr>
        <w:t>1</w:t>
      </w:r>
      <w:r w:rsidR="00941B67">
        <w:rPr>
          <w:noProof/>
        </w:rPr>
        <w:fldChar w:fldCharType="end"/>
      </w:r>
      <w:r>
        <w:t xml:space="preserve">: </w:t>
      </w:r>
      <w:r w:rsidR="001C7650" w:rsidRPr="001F1F3C">
        <w:t>Australian energy intensity and energy productivity</w:t>
      </w:r>
      <w:bookmarkEnd w:id="46"/>
      <w:bookmarkEnd w:id="47"/>
    </w:p>
    <w:tbl>
      <w:tblPr>
        <w:tblStyle w:val="OCETable"/>
        <w:tblW w:w="6379" w:type="pct"/>
        <w:tblInd w:w="-1877" w:type="dxa"/>
        <w:tblLayout w:type="fixed"/>
        <w:tblLook w:val="04A0" w:firstRow="1" w:lastRow="0" w:firstColumn="1" w:lastColumn="0" w:noHBand="0" w:noVBand="1"/>
        <w:tblCaption w:val="Placeholder obejct only"/>
      </w:tblPr>
      <w:tblGrid>
        <w:gridCol w:w="8795"/>
      </w:tblGrid>
      <w:tr w:rsidR="001C7650" w:rsidRPr="001F1F3C" w14:paraId="0593A05D" w14:textId="77777777" w:rsidTr="001722C6">
        <w:trPr>
          <w:cnfStyle w:val="100000000000" w:firstRow="1" w:lastRow="0" w:firstColumn="0" w:lastColumn="0" w:oddVBand="0" w:evenVBand="0" w:oddHBand="0" w:evenHBand="0" w:firstRowFirstColumn="0" w:firstRowLastColumn="0" w:lastRowFirstColumn="0" w:lastRowLastColumn="0"/>
          <w:tblHeader/>
        </w:trPr>
        <w:tc>
          <w:tcPr>
            <w:tcW w:w="8795" w:type="dxa"/>
            <w:shd w:val="clear" w:color="auto" w:fill="auto"/>
          </w:tcPr>
          <w:p w14:paraId="67B428F1" w14:textId="32DDD47D" w:rsidR="001C7650" w:rsidRPr="005F5D85" w:rsidRDefault="00BB4A04" w:rsidP="001C7650">
            <w:pPr>
              <w:pStyle w:val="PlaceholderWide"/>
              <w:ind w:left="-1985"/>
              <w:jc w:val="right"/>
              <w:rPr>
                <w:sz w:val="24"/>
                <w:szCs w:val="24"/>
              </w:rPr>
            </w:pPr>
            <w:r>
              <w:rPr>
                <w:noProof/>
                <w:sz w:val="24"/>
                <w:szCs w:val="24"/>
                <w:lang w:eastAsia="en-AU"/>
              </w:rPr>
              <w:drawing>
                <wp:inline distT="0" distB="0" distL="0" distR="0" wp14:anchorId="15C962CD" wp14:editId="57050EEE">
                  <wp:extent cx="5407660" cy="3255645"/>
                  <wp:effectExtent l="0" t="0" r="2540" b="1905"/>
                  <wp:docPr id="2" name="Picture 2" descr="The figure shows Australian gross domestic product, energy consumption, energy intensity and energy productivity as an index from 1976-77 to 2016-17" title="Figure 2.1: Australian energy intensity and energy produ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7660" cy="3255645"/>
                          </a:xfrm>
                          <a:prstGeom prst="rect">
                            <a:avLst/>
                          </a:prstGeom>
                          <a:noFill/>
                        </pic:spPr>
                      </pic:pic>
                    </a:graphicData>
                  </a:graphic>
                </wp:inline>
              </w:drawing>
            </w:r>
          </w:p>
        </w:tc>
      </w:tr>
    </w:tbl>
    <w:p w14:paraId="0B7BB81A" w14:textId="56E35D81" w:rsidR="001C7650" w:rsidRPr="001F1F3C" w:rsidRDefault="001C7650" w:rsidP="001C7650">
      <w:pPr>
        <w:pStyle w:val="SourceWide"/>
        <w:rPr>
          <w:color w:val="595A5B" w:themeColor="text1"/>
        </w:rPr>
      </w:pPr>
      <w:r w:rsidRPr="001F1F3C">
        <w:rPr>
          <w:color w:val="595A5B" w:themeColor="text1"/>
        </w:rPr>
        <w:t xml:space="preserve">Source: </w:t>
      </w:r>
      <w:r w:rsidRPr="001F1F3C">
        <w:rPr>
          <w:rStyle w:val="SourceChar"/>
          <w:color w:val="595A5B" w:themeColor="text1"/>
        </w:rPr>
        <w:t xml:space="preserve">Department of </w:t>
      </w:r>
      <w:r w:rsidR="005A4AAD" w:rsidRPr="001F1F3C">
        <w:rPr>
          <w:rStyle w:val="SourceChar"/>
          <w:color w:val="595A5B" w:themeColor="text1"/>
        </w:rPr>
        <w:t>the Environment and Energy</w:t>
      </w:r>
      <w:r w:rsidRPr="001F1F3C">
        <w:rPr>
          <w:rStyle w:val="SourceChar"/>
          <w:color w:val="595A5B" w:themeColor="text1"/>
        </w:rPr>
        <w:t xml:space="preserve"> (</w:t>
      </w:r>
      <w:r w:rsidR="003F2CCE" w:rsidRPr="001F1F3C">
        <w:rPr>
          <w:rStyle w:val="SourceChar"/>
          <w:color w:val="595A5B" w:themeColor="text1"/>
        </w:rPr>
        <w:t>2018</w:t>
      </w:r>
      <w:r w:rsidRPr="001F1F3C">
        <w:rPr>
          <w:rStyle w:val="SourceChar"/>
          <w:color w:val="595A5B" w:themeColor="text1"/>
        </w:rPr>
        <w:t xml:space="preserve">) </w:t>
      </w:r>
      <w:r w:rsidRPr="001F1F3C">
        <w:rPr>
          <w:rStyle w:val="SourceChar"/>
          <w:i/>
          <w:color w:val="595A5B" w:themeColor="text1"/>
        </w:rPr>
        <w:t>Australian Energy Statistics</w:t>
      </w:r>
      <w:r w:rsidRPr="001F1F3C">
        <w:rPr>
          <w:rStyle w:val="SourceChar"/>
          <w:color w:val="595A5B" w:themeColor="text1"/>
        </w:rPr>
        <w:t>, Table B</w:t>
      </w:r>
    </w:p>
    <w:p w14:paraId="1F6C0381" w14:textId="77777777" w:rsidR="006F56D5" w:rsidRDefault="00F45D50" w:rsidP="00F45D50">
      <w:pPr>
        <w:pStyle w:val="BodyText"/>
        <w:rPr>
          <w:color w:val="595A5B" w:themeColor="text1"/>
          <w:szCs w:val="20"/>
        </w:rPr>
      </w:pPr>
      <w:bookmarkStart w:id="48" w:name="_Toc392157282"/>
      <w:bookmarkStart w:id="49" w:name="_Toc427614395"/>
      <w:bookmarkStart w:id="50" w:name="_Toc428130029"/>
      <w:r w:rsidRPr="001F1F3C">
        <w:rPr>
          <w:color w:val="595A5B" w:themeColor="text1"/>
          <w:szCs w:val="20"/>
        </w:rPr>
        <w:lastRenderedPageBreak/>
        <w:t xml:space="preserve">As economic growth in Australia over recent decades has generally outpaced growth in energy consumption, the Australian economy has tended towards lower energy intensity and higher energy productivity over time (Figure </w:t>
      </w:r>
      <w:r w:rsidR="00143420">
        <w:rPr>
          <w:color w:val="595A5B" w:themeColor="text1"/>
          <w:szCs w:val="20"/>
        </w:rPr>
        <w:t>2</w:t>
      </w:r>
      <w:r w:rsidRPr="001F1F3C">
        <w:rPr>
          <w:color w:val="595A5B" w:themeColor="text1"/>
          <w:szCs w:val="20"/>
        </w:rPr>
        <w:t>.1).</w:t>
      </w:r>
    </w:p>
    <w:p w14:paraId="24526649" w14:textId="53E074A3" w:rsidR="00F45D50" w:rsidRPr="001F1F3C" w:rsidRDefault="00F45D50" w:rsidP="00F45D50">
      <w:pPr>
        <w:pStyle w:val="BodyText"/>
        <w:rPr>
          <w:color w:val="595A5B" w:themeColor="text1"/>
          <w:szCs w:val="20"/>
        </w:rPr>
      </w:pPr>
      <w:r w:rsidRPr="001F1F3C">
        <w:rPr>
          <w:color w:val="595A5B" w:themeColor="text1"/>
          <w:szCs w:val="20"/>
        </w:rPr>
        <w:t xml:space="preserve">This reflects </w:t>
      </w:r>
      <w:r w:rsidR="00E10FA9" w:rsidRPr="001F1F3C">
        <w:rPr>
          <w:color w:val="595A5B" w:themeColor="text1"/>
          <w:szCs w:val="20"/>
        </w:rPr>
        <w:t xml:space="preserve">cumulative improvements in energy efficiency as well as </w:t>
      </w:r>
      <w:r w:rsidRPr="001F1F3C">
        <w:rPr>
          <w:color w:val="595A5B" w:themeColor="text1"/>
          <w:szCs w:val="20"/>
        </w:rPr>
        <w:t xml:space="preserve">a shift in the </w:t>
      </w:r>
      <w:r w:rsidR="00E10FA9" w:rsidRPr="001F1F3C">
        <w:rPr>
          <w:color w:val="595A5B" w:themeColor="text1"/>
          <w:szCs w:val="20"/>
        </w:rPr>
        <w:t xml:space="preserve">Australian </w:t>
      </w:r>
      <w:r w:rsidRPr="001F1F3C">
        <w:rPr>
          <w:color w:val="595A5B" w:themeColor="text1"/>
          <w:szCs w:val="20"/>
        </w:rPr>
        <w:t xml:space="preserve">economy away from highly energy-intensive industries </w:t>
      </w:r>
      <w:r w:rsidR="006652E1" w:rsidRPr="001F1F3C">
        <w:rPr>
          <w:color w:val="595A5B" w:themeColor="text1"/>
          <w:szCs w:val="20"/>
        </w:rPr>
        <w:t xml:space="preserve">such as </w:t>
      </w:r>
      <w:r w:rsidR="00E10FA9" w:rsidRPr="001F1F3C">
        <w:rPr>
          <w:color w:val="595A5B" w:themeColor="text1"/>
          <w:szCs w:val="20"/>
        </w:rPr>
        <w:t xml:space="preserve">manufacturing </w:t>
      </w:r>
      <w:r w:rsidRPr="001F1F3C">
        <w:rPr>
          <w:color w:val="595A5B" w:themeColor="text1"/>
          <w:szCs w:val="20"/>
        </w:rPr>
        <w:t xml:space="preserve">towards less energy-intensive industries </w:t>
      </w:r>
      <w:r w:rsidR="006652E1" w:rsidRPr="001F1F3C">
        <w:rPr>
          <w:color w:val="595A5B" w:themeColor="text1"/>
          <w:szCs w:val="20"/>
        </w:rPr>
        <w:t>such as services</w:t>
      </w:r>
      <w:r w:rsidR="00E10FA9" w:rsidRPr="001F1F3C">
        <w:rPr>
          <w:color w:val="595A5B" w:themeColor="text1"/>
          <w:szCs w:val="20"/>
        </w:rPr>
        <w:t>.</w:t>
      </w:r>
      <w:r w:rsidRPr="001F1F3C">
        <w:rPr>
          <w:color w:val="595A5B" w:themeColor="text1"/>
          <w:szCs w:val="20"/>
        </w:rPr>
        <w:t xml:space="preserve"> </w:t>
      </w:r>
      <w:r w:rsidR="0009772F">
        <w:rPr>
          <w:color w:val="595A5B" w:themeColor="text1"/>
          <w:szCs w:val="20"/>
        </w:rPr>
        <w:t xml:space="preserve">Increased use of renewable energy instead of fossil fuels for electricity generation </w:t>
      </w:r>
      <w:r w:rsidR="00790D5F">
        <w:rPr>
          <w:color w:val="595A5B" w:themeColor="text1"/>
          <w:szCs w:val="20"/>
        </w:rPr>
        <w:t xml:space="preserve">has </w:t>
      </w:r>
      <w:r w:rsidR="0009772F">
        <w:rPr>
          <w:color w:val="595A5B" w:themeColor="text1"/>
          <w:szCs w:val="20"/>
        </w:rPr>
        <w:t>also</w:t>
      </w:r>
      <w:r w:rsidR="00790D5F">
        <w:rPr>
          <w:color w:val="595A5B" w:themeColor="text1"/>
          <w:szCs w:val="20"/>
        </w:rPr>
        <w:t xml:space="preserve"> had</w:t>
      </w:r>
      <w:r w:rsidR="0009772F">
        <w:rPr>
          <w:color w:val="595A5B" w:themeColor="text1"/>
          <w:szCs w:val="20"/>
        </w:rPr>
        <w:t xml:space="preserve"> a positive impact on energy productivity.</w:t>
      </w:r>
    </w:p>
    <w:p w14:paraId="6EA5A10F" w14:textId="521E8883" w:rsidR="008D6713" w:rsidRDefault="0009772F" w:rsidP="008D6713">
      <w:pPr>
        <w:pStyle w:val="BodyText"/>
      </w:pPr>
      <w:r>
        <w:rPr>
          <w:color w:val="595A5B" w:themeColor="text1"/>
          <w:szCs w:val="20"/>
        </w:rPr>
        <w:t>E</w:t>
      </w:r>
      <w:r w:rsidR="00EF245C" w:rsidRPr="001F1F3C">
        <w:rPr>
          <w:color w:val="595A5B" w:themeColor="text1"/>
          <w:szCs w:val="20"/>
        </w:rPr>
        <w:t xml:space="preserve">nergy productivity </w:t>
      </w:r>
      <w:r>
        <w:rPr>
          <w:color w:val="595A5B" w:themeColor="text1"/>
          <w:szCs w:val="20"/>
        </w:rPr>
        <w:t xml:space="preserve">improved </w:t>
      </w:r>
      <w:r w:rsidR="00EF245C" w:rsidRPr="001F1F3C">
        <w:rPr>
          <w:color w:val="595A5B" w:themeColor="text1"/>
          <w:szCs w:val="20"/>
        </w:rPr>
        <w:t>by 0.</w:t>
      </w:r>
      <w:r w:rsidR="0075424B">
        <w:rPr>
          <w:color w:val="595A5B" w:themeColor="text1"/>
          <w:szCs w:val="20"/>
        </w:rPr>
        <w:t>9</w:t>
      </w:r>
      <w:r w:rsidR="00EF245C" w:rsidRPr="005F5D85">
        <w:rPr>
          <w:color w:val="595A5B" w:themeColor="text1"/>
          <w:szCs w:val="20"/>
        </w:rPr>
        <w:t xml:space="preserve"> per cent in </w:t>
      </w:r>
      <w:r w:rsidR="003F2CCE" w:rsidRPr="005F5D85">
        <w:rPr>
          <w:color w:val="595A5B" w:themeColor="text1"/>
          <w:szCs w:val="20"/>
        </w:rPr>
        <w:t>2016–17</w:t>
      </w:r>
      <w:r w:rsidR="00790D5F">
        <w:rPr>
          <w:color w:val="595A5B" w:themeColor="text1"/>
          <w:szCs w:val="20"/>
        </w:rPr>
        <w:t>, after being flat in 2015–16</w:t>
      </w:r>
      <w:r w:rsidR="002074BE">
        <w:rPr>
          <w:color w:val="595A5B" w:themeColor="text1"/>
          <w:szCs w:val="20"/>
        </w:rPr>
        <w:t xml:space="preserve">. </w:t>
      </w:r>
      <w:r>
        <w:rPr>
          <w:color w:val="595A5B" w:themeColor="text1"/>
          <w:szCs w:val="20"/>
        </w:rPr>
        <w:t>E</w:t>
      </w:r>
      <w:r w:rsidR="00EF245C" w:rsidRPr="001F1F3C">
        <w:rPr>
          <w:color w:val="595A5B" w:themeColor="text1"/>
          <w:szCs w:val="20"/>
        </w:rPr>
        <w:t xml:space="preserve">nergy productivity </w:t>
      </w:r>
      <w:r>
        <w:rPr>
          <w:color w:val="595A5B" w:themeColor="text1"/>
          <w:szCs w:val="20"/>
        </w:rPr>
        <w:t xml:space="preserve">has </w:t>
      </w:r>
      <w:r w:rsidR="006F56D5">
        <w:rPr>
          <w:color w:val="595A5B" w:themeColor="text1"/>
          <w:szCs w:val="20"/>
        </w:rPr>
        <w:t>improved</w:t>
      </w:r>
      <w:r w:rsidR="00EF245C" w:rsidRPr="001F1F3C">
        <w:rPr>
          <w:color w:val="595A5B" w:themeColor="text1"/>
          <w:szCs w:val="20"/>
        </w:rPr>
        <w:t xml:space="preserve"> by </w:t>
      </w:r>
      <w:r w:rsidR="00EB3DD9">
        <w:rPr>
          <w:color w:val="595A5B" w:themeColor="text1"/>
          <w:szCs w:val="20"/>
        </w:rPr>
        <w:t>17</w:t>
      </w:r>
      <w:r w:rsidR="00EF245C" w:rsidRPr="001F1F3C">
        <w:rPr>
          <w:color w:val="595A5B" w:themeColor="text1"/>
          <w:szCs w:val="20"/>
        </w:rPr>
        <w:t xml:space="preserve"> per cent over the </w:t>
      </w:r>
      <w:r w:rsidR="006D1CB1">
        <w:rPr>
          <w:color w:val="595A5B" w:themeColor="text1"/>
          <w:szCs w:val="20"/>
        </w:rPr>
        <w:t xml:space="preserve">past </w:t>
      </w:r>
      <w:r w:rsidR="007D116F">
        <w:rPr>
          <w:color w:val="595A5B" w:themeColor="text1"/>
          <w:szCs w:val="20"/>
        </w:rPr>
        <w:t>ten </w:t>
      </w:r>
      <w:r w:rsidR="00790D5F">
        <w:rPr>
          <w:color w:val="595A5B" w:themeColor="text1"/>
          <w:szCs w:val="20"/>
        </w:rPr>
        <w:t>years</w:t>
      </w:r>
      <w:r w:rsidR="00EF245C" w:rsidRPr="001F1F3C">
        <w:rPr>
          <w:color w:val="595A5B" w:themeColor="text1"/>
          <w:szCs w:val="20"/>
        </w:rPr>
        <w:t>.</w:t>
      </w:r>
      <w:r w:rsidR="008D6713">
        <w:rPr>
          <w:color w:val="595A5B" w:themeColor="text1"/>
          <w:szCs w:val="20"/>
        </w:rPr>
        <w:t xml:space="preserve"> </w:t>
      </w:r>
      <w:r w:rsidR="00790D5F">
        <w:t>Australia</w:t>
      </w:r>
      <w:r w:rsidR="008D6713">
        <w:t xml:space="preserve"> now </w:t>
      </w:r>
      <w:r w:rsidR="00790D5F">
        <w:t>creates</w:t>
      </w:r>
      <w:r w:rsidR="008D6713">
        <w:t xml:space="preserve"> $275 million in GDP for every petajoule of energy consume</w:t>
      </w:r>
      <w:r w:rsidR="00790D5F">
        <w:t>d</w:t>
      </w:r>
      <w:r w:rsidR="008D6713">
        <w:t>, nearly $50 million more than a decade ago.</w:t>
      </w:r>
    </w:p>
    <w:p w14:paraId="68F2B5B2" w14:textId="77777777" w:rsidR="001F4600" w:rsidRPr="001F1F3C" w:rsidRDefault="00EF245C" w:rsidP="001F4600">
      <w:pPr>
        <w:pStyle w:val="Heading2"/>
      </w:pPr>
      <w:bookmarkStart w:id="51" w:name="_Toc522197023"/>
      <w:bookmarkStart w:id="52" w:name="_Toc522633186"/>
      <w:r w:rsidRPr="001F1F3C">
        <w:t>Energy consumption, b</w:t>
      </w:r>
      <w:r w:rsidR="001F4600" w:rsidRPr="001F1F3C">
        <w:t>y fuel type</w:t>
      </w:r>
      <w:bookmarkEnd w:id="48"/>
      <w:bookmarkEnd w:id="49"/>
      <w:bookmarkEnd w:id="50"/>
      <w:bookmarkEnd w:id="51"/>
      <w:bookmarkEnd w:id="52"/>
    </w:p>
    <w:p w14:paraId="270A5788" w14:textId="577DDB15" w:rsidR="0009772F" w:rsidRDefault="00B757C6" w:rsidP="001F4600">
      <w:pPr>
        <w:pStyle w:val="BodyText"/>
      </w:pPr>
      <w:r>
        <w:t xml:space="preserve">Fossil fuels (coal, oil and gas) accounted for 94 per cent of Australia’s primary energy mix in 2016–17. </w:t>
      </w:r>
      <w:r w:rsidR="001F4600" w:rsidRPr="001F1F3C">
        <w:t>Oil, including crude oil, liquefied petroleum gas (LPG) and refined products, accounted for the largest share of energy consumption, at 3</w:t>
      </w:r>
      <w:r w:rsidR="00063B16">
        <w:t>8</w:t>
      </w:r>
      <w:r w:rsidR="006D1CB1">
        <w:t> per </w:t>
      </w:r>
      <w:r w:rsidR="001F4600" w:rsidRPr="00A727FB">
        <w:t>cent</w:t>
      </w:r>
      <w:r w:rsidR="00146DD2">
        <w:t xml:space="preserve"> in 2016–17</w:t>
      </w:r>
      <w:r w:rsidR="001F4600" w:rsidRPr="001F1F3C">
        <w:t xml:space="preserve">, </w:t>
      </w:r>
      <w:r w:rsidR="007316BF" w:rsidRPr="001F1F3C">
        <w:t xml:space="preserve">slightly </w:t>
      </w:r>
      <w:r w:rsidR="00063B16">
        <w:t>high</w:t>
      </w:r>
      <w:r w:rsidR="007316BF" w:rsidRPr="00A727FB">
        <w:t>er than</w:t>
      </w:r>
      <w:r w:rsidR="001F4600" w:rsidRPr="00A727FB">
        <w:t xml:space="preserve"> the previous year (Table </w:t>
      </w:r>
      <w:r w:rsidR="00823AE6">
        <w:t>2</w:t>
      </w:r>
      <w:r w:rsidR="001F4600" w:rsidRPr="00A727FB">
        <w:t xml:space="preserve">.1). </w:t>
      </w:r>
      <w:r w:rsidR="0009772F">
        <w:t xml:space="preserve">This figure includes </w:t>
      </w:r>
      <w:r w:rsidR="00146DD2">
        <w:t xml:space="preserve">domestic and imported </w:t>
      </w:r>
      <w:r w:rsidR="0009772F">
        <w:t>crude used by Australian refineries</w:t>
      </w:r>
      <w:r w:rsidR="004235A9">
        <w:t>,</w:t>
      </w:r>
      <w:r w:rsidR="0009772F">
        <w:t xml:space="preserve"> and </w:t>
      </w:r>
      <w:r w:rsidR="004235A9">
        <w:t xml:space="preserve">imported </w:t>
      </w:r>
      <w:r w:rsidR="0009772F">
        <w:t>refined products</w:t>
      </w:r>
      <w:r w:rsidR="004235A9">
        <w:t xml:space="preserve"> used by industry and households</w:t>
      </w:r>
      <w:r w:rsidR="0009772F">
        <w:t>, but nets off refined products produced domestically to avoid double counting</w:t>
      </w:r>
      <w:r w:rsidR="00146DD2">
        <w:t xml:space="preserve"> of energy</w:t>
      </w:r>
      <w:r w:rsidR="0009772F">
        <w:t>.</w:t>
      </w:r>
    </w:p>
    <w:p w14:paraId="4231536B" w14:textId="29DB58E5" w:rsidR="001F4600" w:rsidRPr="00A727FB" w:rsidRDefault="001F4600" w:rsidP="001F4600">
      <w:pPr>
        <w:pStyle w:val="BodyText"/>
      </w:pPr>
      <w:r w:rsidRPr="00A727FB">
        <w:t xml:space="preserve">Oil consumption </w:t>
      </w:r>
      <w:r w:rsidR="007316BF" w:rsidRPr="00A727FB">
        <w:t xml:space="preserve">increased </w:t>
      </w:r>
      <w:r w:rsidR="007316BF" w:rsidRPr="001F1F3C">
        <w:t xml:space="preserve">by </w:t>
      </w:r>
      <w:r w:rsidR="00063B16">
        <w:t>2</w:t>
      </w:r>
      <w:r w:rsidRPr="00A727FB">
        <w:t xml:space="preserve"> per cent</w:t>
      </w:r>
      <w:r w:rsidR="0009772F">
        <w:t xml:space="preserve"> in 2016–17</w:t>
      </w:r>
      <w:r w:rsidRPr="001F1F3C">
        <w:t xml:space="preserve">, with the </w:t>
      </w:r>
      <w:r w:rsidR="007316BF" w:rsidRPr="001F1F3C">
        <w:t>increased consumption of refined products</w:t>
      </w:r>
      <w:r w:rsidR="00146DD2">
        <w:t>, mostly</w:t>
      </w:r>
      <w:r w:rsidR="007316BF" w:rsidRPr="001F1F3C">
        <w:t xml:space="preserve"> for transport</w:t>
      </w:r>
      <w:r w:rsidR="00146DD2">
        <w:t>,</w:t>
      </w:r>
      <w:r w:rsidR="007316BF" w:rsidRPr="001F1F3C">
        <w:t xml:space="preserve"> </w:t>
      </w:r>
      <w:r w:rsidR="00146DD2">
        <w:t xml:space="preserve">partially </w:t>
      </w:r>
      <w:r w:rsidR="007316BF" w:rsidRPr="001F1F3C">
        <w:t xml:space="preserve">offset by a </w:t>
      </w:r>
      <w:r w:rsidR="00824A87" w:rsidRPr="00A727FB">
        <w:t>decline in crude consumption</w:t>
      </w:r>
      <w:r w:rsidR="00063B16">
        <w:t xml:space="preserve"> by refineries</w:t>
      </w:r>
      <w:r w:rsidRPr="00A727FB">
        <w:t xml:space="preserve">. </w:t>
      </w:r>
    </w:p>
    <w:p w14:paraId="7959FCF8" w14:textId="2D6FC350" w:rsidR="001F4600" w:rsidRPr="001F1F3C" w:rsidRDefault="000678FE" w:rsidP="00082FE6">
      <w:pPr>
        <w:pStyle w:val="Caption"/>
        <w:pBdr>
          <w:top w:val="single" w:sz="2" w:space="0" w:color="595A5B"/>
        </w:pBdr>
      </w:pPr>
      <w:bookmarkStart w:id="53" w:name="_Toc461142056"/>
      <w:bookmarkStart w:id="54" w:name="_Toc522635713"/>
      <w:bookmarkStart w:id="55" w:name="_Toc427614424"/>
      <w:bookmarkStart w:id="56" w:name="_Toc427790829"/>
      <w:r>
        <w:t xml:space="preserve">Table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rsidR="00C1400E">
        <w:t>.</w:t>
      </w:r>
      <w:r w:rsidR="00941B67">
        <w:rPr>
          <w:noProof/>
        </w:rPr>
        <w:fldChar w:fldCharType="begin"/>
      </w:r>
      <w:r w:rsidR="00941B67">
        <w:rPr>
          <w:noProof/>
        </w:rPr>
        <w:instrText xml:space="preserve"> SEQ Table \* ARABIC \s 1 </w:instrText>
      </w:r>
      <w:r w:rsidR="00941B67">
        <w:rPr>
          <w:noProof/>
        </w:rPr>
        <w:fldChar w:fldCharType="separate"/>
      </w:r>
      <w:r w:rsidR="00D72ABB">
        <w:rPr>
          <w:noProof/>
        </w:rPr>
        <w:t>1</w:t>
      </w:r>
      <w:r w:rsidR="00941B67">
        <w:rPr>
          <w:noProof/>
        </w:rPr>
        <w:fldChar w:fldCharType="end"/>
      </w:r>
      <w:r w:rsidR="00970285">
        <w:t xml:space="preserve">: </w:t>
      </w:r>
      <w:r w:rsidR="001F4600" w:rsidRPr="001F1F3C">
        <w:t>Australian energy consumption, by fuel type</w:t>
      </w:r>
      <w:bookmarkEnd w:id="53"/>
      <w:bookmarkEnd w:id="54"/>
    </w:p>
    <w:tbl>
      <w:tblPr>
        <w:tblW w:w="6894" w:type="dxa"/>
        <w:tblLook w:val="04A0" w:firstRow="1" w:lastRow="0" w:firstColumn="1" w:lastColumn="0" w:noHBand="0" w:noVBand="1"/>
      </w:tblPr>
      <w:tblGrid>
        <w:gridCol w:w="1407"/>
        <w:gridCol w:w="1287"/>
        <w:gridCol w:w="1236"/>
        <w:gridCol w:w="278"/>
        <w:gridCol w:w="1462"/>
        <w:gridCol w:w="1224"/>
      </w:tblGrid>
      <w:tr w:rsidR="007619F4" w:rsidRPr="001F1F3C" w14:paraId="10A42C68" w14:textId="77777777" w:rsidTr="007619F4">
        <w:trPr>
          <w:trHeight w:val="285"/>
        </w:trPr>
        <w:tc>
          <w:tcPr>
            <w:tcW w:w="1407" w:type="dxa"/>
            <w:tcBorders>
              <w:top w:val="nil"/>
              <w:left w:val="nil"/>
              <w:bottom w:val="nil"/>
              <w:right w:val="nil"/>
            </w:tcBorders>
            <w:shd w:val="clear" w:color="000000" w:fill="22789A"/>
            <w:noWrap/>
            <w:vAlign w:val="bottom"/>
            <w:hideMark/>
          </w:tcPr>
          <w:p w14:paraId="0C4AB2C7" w14:textId="77777777" w:rsidR="007619F4" w:rsidRPr="001F1F3C" w:rsidRDefault="007619F4" w:rsidP="00F65F2C">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523" w:type="dxa"/>
            <w:gridSpan w:val="2"/>
            <w:tcBorders>
              <w:top w:val="nil"/>
              <w:left w:val="nil"/>
              <w:bottom w:val="nil"/>
              <w:right w:val="nil"/>
            </w:tcBorders>
            <w:shd w:val="clear" w:color="000000" w:fill="22789A"/>
            <w:noWrap/>
            <w:vAlign w:val="center"/>
            <w:hideMark/>
          </w:tcPr>
          <w:p w14:paraId="28B9395C" w14:textId="638E8C1D" w:rsidR="007619F4" w:rsidRPr="001F1F3C" w:rsidRDefault="003F2CCE" w:rsidP="00F65F2C">
            <w:pPr>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2016–17</w:t>
            </w:r>
          </w:p>
        </w:tc>
        <w:tc>
          <w:tcPr>
            <w:tcW w:w="278" w:type="dxa"/>
            <w:tcBorders>
              <w:top w:val="nil"/>
              <w:left w:val="nil"/>
              <w:bottom w:val="nil"/>
              <w:right w:val="nil"/>
            </w:tcBorders>
            <w:shd w:val="clear" w:color="000000" w:fill="22789A"/>
            <w:noWrap/>
            <w:vAlign w:val="bottom"/>
            <w:hideMark/>
          </w:tcPr>
          <w:p w14:paraId="64DA59AF" w14:textId="77777777" w:rsidR="007619F4" w:rsidRPr="001F1F3C" w:rsidRDefault="007619F4" w:rsidP="00F65F2C">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686" w:type="dxa"/>
            <w:gridSpan w:val="2"/>
            <w:tcBorders>
              <w:top w:val="nil"/>
              <w:left w:val="nil"/>
              <w:bottom w:val="nil"/>
              <w:right w:val="nil"/>
            </w:tcBorders>
            <w:shd w:val="clear" w:color="000000" w:fill="22789A"/>
            <w:noWrap/>
            <w:vAlign w:val="center"/>
            <w:hideMark/>
          </w:tcPr>
          <w:p w14:paraId="27AF718E" w14:textId="77777777" w:rsidR="007619F4" w:rsidRPr="001F1F3C" w:rsidRDefault="007619F4" w:rsidP="00F65F2C">
            <w:pPr>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Average annual growth</w:t>
            </w:r>
          </w:p>
        </w:tc>
      </w:tr>
      <w:tr w:rsidR="007619F4" w:rsidRPr="001F1F3C" w14:paraId="22946293" w14:textId="77777777" w:rsidTr="007619F4">
        <w:trPr>
          <w:trHeight w:val="240"/>
        </w:trPr>
        <w:tc>
          <w:tcPr>
            <w:tcW w:w="1407" w:type="dxa"/>
            <w:vMerge w:val="restart"/>
            <w:tcBorders>
              <w:top w:val="nil"/>
              <w:left w:val="nil"/>
              <w:bottom w:val="nil"/>
              <w:right w:val="nil"/>
            </w:tcBorders>
            <w:shd w:val="clear" w:color="000000" w:fill="CAE7F3"/>
            <w:noWrap/>
            <w:vAlign w:val="bottom"/>
            <w:hideMark/>
          </w:tcPr>
          <w:p w14:paraId="054840C4" w14:textId="77777777" w:rsidR="007619F4" w:rsidRPr="001F1F3C" w:rsidRDefault="007619F4" w:rsidP="00F65F2C">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1287" w:type="dxa"/>
            <w:vMerge w:val="restart"/>
            <w:tcBorders>
              <w:top w:val="nil"/>
              <w:left w:val="nil"/>
              <w:bottom w:val="nil"/>
              <w:right w:val="nil"/>
            </w:tcBorders>
            <w:shd w:val="clear" w:color="000000" w:fill="CAE7F3"/>
            <w:noWrap/>
            <w:vAlign w:val="center"/>
            <w:hideMark/>
          </w:tcPr>
          <w:p w14:paraId="3FE94E69" w14:textId="77777777" w:rsidR="007619F4" w:rsidRPr="001F1F3C" w:rsidRDefault="007619F4" w:rsidP="00F65F2C">
            <w:pPr>
              <w:spacing w:after="0" w:line="360" w:lineRule="auto"/>
              <w:ind w:left="0"/>
              <w:jc w:val="right"/>
              <w:rPr>
                <w:rFonts w:eastAsia="Times New Roman" w:cs="Arial"/>
                <w:sz w:val="18"/>
                <w:szCs w:val="18"/>
                <w:lang w:eastAsia="en-AU"/>
              </w:rPr>
            </w:pPr>
            <w:r w:rsidRPr="001F1F3C">
              <w:rPr>
                <w:rFonts w:eastAsia="Times New Roman" w:cs="Arial"/>
                <w:color w:val="595A5B" w:themeColor="accent5"/>
                <w:sz w:val="18"/>
                <w:szCs w:val="18"/>
                <w:lang w:eastAsia="en-AU"/>
              </w:rPr>
              <w:t>PJ</w:t>
            </w:r>
          </w:p>
        </w:tc>
        <w:tc>
          <w:tcPr>
            <w:tcW w:w="1236" w:type="dxa"/>
            <w:tcBorders>
              <w:top w:val="nil"/>
              <w:left w:val="nil"/>
              <w:bottom w:val="nil"/>
              <w:right w:val="nil"/>
            </w:tcBorders>
            <w:shd w:val="clear" w:color="000000" w:fill="CAE7F3"/>
            <w:noWrap/>
            <w:vAlign w:val="center"/>
            <w:hideMark/>
          </w:tcPr>
          <w:p w14:paraId="7471D640" w14:textId="77777777" w:rsidR="007619F4" w:rsidRPr="001F1F3C" w:rsidRDefault="007619F4" w:rsidP="00F65F2C">
            <w:pPr>
              <w:spacing w:after="0" w:line="360" w:lineRule="auto"/>
              <w:ind w:left="0"/>
              <w:jc w:val="right"/>
              <w:rPr>
                <w:rFonts w:eastAsia="Times New Roman" w:cs="Arial"/>
                <w:sz w:val="18"/>
                <w:szCs w:val="18"/>
                <w:lang w:eastAsia="en-AU"/>
              </w:rPr>
            </w:pPr>
            <w:r w:rsidRPr="001F1F3C">
              <w:rPr>
                <w:rFonts w:eastAsia="Times New Roman" w:cs="Arial"/>
                <w:color w:val="595A5B" w:themeColor="accent5"/>
                <w:sz w:val="18"/>
                <w:szCs w:val="18"/>
                <w:lang w:eastAsia="en-AU"/>
              </w:rPr>
              <w:t>share</w:t>
            </w:r>
          </w:p>
        </w:tc>
        <w:tc>
          <w:tcPr>
            <w:tcW w:w="278" w:type="dxa"/>
            <w:vMerge w:val="restart"/>
            <w:tcBorders>
              <w:top w:val="nil"/>
              <w:left w:val="nil"/>
              <w:bottom w:val="nil"/>
              <w:right w:val="nil"/>
            </w:tcBorders>
            <w:shd w:val="clear" w:color="000000" w:fill="CAE7F3"/>
            <w:noWrap/>
            <w:vAlign w:val="bottom"/>
            <w:hideMark/>
          </w:tcPr>
          <w:p w14:paraId="4E3559B9" w14:textId="77777777" w:rsidR="007619F4" w:rsidRPr="001F1F3C" w:rsidRDefault="007619F4" w:rsidP="00F65F2C">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1462" w:type="dxa"/>
            <w:tcBorders>
              <w:top w:val="nil"/>
              <w:left w:val="nil"/>
              <w:bottom w:val="nil"/>
              <w:right w:val="nil"/>
            </w:tcBorders>
            <w:shd w:val="clear" w:color="000000" w:fill="CAE7F3"/>
            <w:noWrap/>
            <w:vAlign w:val="center"/>
            <w:hideMark/>
          </w:tcPr>
          <w:p w14:paraId="6FBFED70" w14:textId="6EA21C9C" w:rsidR="007619F4" w:rsidRPr="001F1F3C" w:rsidRDefault="003F2CCE" w:rsidP="00F65F2C">
            <w:pPr>
              <w:spacing w:after="0" w:line="360" w:lineRule="auto"/>
              <w:ind w:left="0"/>
              <w:jc w:val="right"/>
              <w:rPr>
                <w:rFonts w:eastAsia="Times New Roman" w:cs="Arial"/>
                <w:sz w:val="18"/>
                <w:szCs w:val="18"/>
                <w:lang w:eastAsia="en-AU"/>
              </w:rPr>
            </w:pPr>
            <w:r w:rsidRPr="001F1F3C">
              <w:rPr>
                <w:rFonts w:eastAsia="Times New Roman" w:cs="Arial"/>
                <w:color w:val="595A5B" w:themeColor="accent5"/>
                <w:sz w:val="18"/>
                <w:szCs w:val="18"/>
                <w:lang w:eastAsia="en-AU"/>
              </w:rPr>
              <w:t>2016–17</w:t>
            </w:r>
          </w:p>
        </w:tc>
        <w:tc>
          <w:tcPr>
            <w:tcW w:w="1224" w:type="dxa"/>
            <w:tcBorders>
              <w:top w:val="nil"/>
              <w:left w:val="nil"/>
              <w:bottom w:val="nil"/>
              <w:right w:val="nil"/>
            </w:tcBorders>
            <w:shd w:val="clear" w:color="000000" w:fill="CAE7F3"/>
            <w:noWrap/>
            <w:vAlign w:val="center"/>
            <w:hideMark/>
          </w:tcPr>
          <w:p w14:paraId="3104DCB9" w14:textId="77777777" w:rsidR="007619F4" w:rsidRPr="001F1F3C" w:rsidRDefault="007619F4" w:rsidP="00F65F2C">
            <w:pPr>
              <w:spacing w:after="0" w:line="360" w:lineRule="auto"/>
              <w:ind w:left="0"/>
              <w:jc w:val="right"/>
              <w:rPr>
                <w:rFonts w:eastAsia="Times New Roman" w:cs="Arial"/>
                <w:sz w:val="18"/>
                <w:szCs w:val="18"/>
                <w:lang w:eastAsia="en-AU"/>
              </w:rPr>
            </w:pPr>
            <w:r w:rsidRPr="001F1F3C">
              <w:rPr>
                <w:rFonts w:eastAsia="Times New Roman" w:cs="Arial"/>
                <w:color w:val="595A5B" w:themeColor="accent5"/>
                <w:sz w:val="18"/>
                <w:szCs w:val="18"/>
                <w:lang w:eastAsia="en-AU"/>
              </w:rPr>
              <w:t>10 years</w:t>
            </w:r>
          </w:p>
        </w:tc>
      </w:tr>
      <w:tr w:rsidR="007619F4" w:rsidRPr="001F1F3C" w14:paraId="0A0E9E9D" w14:textId="77777777" w:rsidTr="007619F4">
        <w:trPr>
          <w:trHeight w:val="240"/>
        </w:trPr>
        <w:tc>
          <w:tcPr>
            <w:tcW w:w="1407" w:type="dxa"/>
            <w:vMerge/>
            <w:tcBorders>
              <w:top w:val="nil"/>
              <w:left w:val="nil"/>
              <w:bottom w:val="nil"/>
              <w:right w:val="nil"/>
            </w:tcBorders>
            <w:vAlign w:val="center"/>
            <w:hideMark/>
          </w:tcPr>
          <w:p w14:paraId="3196722D" w14:textId="77777777" w:rsidR="007619F4" w:rsidRPr="001F1F3C" w:rsidRDefault="007619F4" w:rsidP="00F65F2C">
            <w:pPr>
              <w:spacing w:after="0" w:line="360" w:lineRule="auto"/>
              <w:ind w:left="0"/>
              <w:jc w:val="left"/>
              <w:rPr>
                <w:rFonts w:eastAsia="Times New Roman" w:cs="Arial"/>
                <w:color w:val="000000"/>
                <w:sz w:val="22"/>
                <w:lang w:eastAsia="en-AU"/>
              </w:rPr>
            </w:pPr>
          </w:p>
        </w:tc>
        <w:tc>
          <w:tcPr>
            <w:tcW w:w="1287" w:type="dxa"/>
            <w:vMerge/>
            <w:tcBorders>
              <w:top w:val="nil"/>
              <w:left w:val="nil"/>
              <w:bottom w:val="nil"/>
              <w:right w:val="nil"/>
            </w:tcBorders>
            <w:vAlign w:val="center"/>
            <w:hideMark/>
          </w:tcPr>
          <w:p w14:paraId="73A6FAD7" w14:textId="77777777" w:rsidR="007619F4" w:rsidRPr="001F1F3C" w:rsidRDefault="007619F4" w:rsidP="00F65F2C">
            <w:pPr>
              <w:spacing w:after="0" w:line="360" w:lineRule="auto"/>
              <w:ind w:left="0"/>
              <w:jc w:val="left"/>
              <w:rPr>
                <w:rFonts w:eastAsia="Times New Roman" w:cs="Arial"/>
                <w:sz w:val="18"/>
                <w:szCs w:val="18"/>
                <w:lang w:eastAsia="en-AU"/>
              </w:rPr>
            </w:pPr>
          </w:p>
        </w:tc>
        <w:tc>
          <w:tcPr>
            <w:tcW w:w="1236" w:type="dxa"/>
            <w:tcBorders>
              <w:top w:val="nil"/>
              <w:left w:val="nil"/>
              <w:bottom w:val="nil"/>
              <w:right w:val="nil"/>
            </w:tcBorders>
            <w:shd w:val="clear" w:color="000000" w:fill="CAE7F3"/>
            <w:noWrap/>
            <w:vAlign w:val="center"/>
            <w:hideMark/>
          </w:tcPr>
          <w:p w14:paraId="67F209C8" w14:textId="77777777" w:rsidR="007619F4" w:rsidRPr="001F1F3C" w:rsidRDefault="007619F4" w:rsidP="00F65F2C">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c>
          <w:tcPr>
            <w:tcW w:w="278" w:type="dxa"/>
            <w:vMerge/>
            <w:tcBorders>
              <w:top w:val="nil"/>
              <w:left w:val="nil"/>
              <w:bottom w:val="nil"/>
              <w:right w:val="nil"/>
            </w:tcBorders>
            <w:vAlign w:val="center"/>
            <w:hideMark/>
          </w:tcPr>
          <w:p w14:paraId="4B6E2B47" w14:textId="77777777" w:rsidR="007619F4" w:rsidRPr="001F1F3C" w:rsidRDefault="007619F4" w:rsidP="00F65F2C">
            <w:pPr>
              <w:spacing w:after="0" w:line="360" w:lineRule="auto"/>
              <w:ind w:left="0"/>
              <w:jc w:val="left"/>
              <w:rPr>
                <w:rFonts w:eastAsia="Times New Roman" w:cs="Arial"/>
                <w:color w:val="000000"/>
                <w:sz w:val="22"/>
                <w:lang w:eastAsia="en-AU"/>
              </w:rPr>
            </w:pPr>
          </w:p>
        </w:tc>
        <w:tc>
          <w:tcPr>
            <w:tcW w:w="1462" w:type="dxa"/>
            <w:tcBorders>
              <w:top w:val="nil"/>
              <w:left w:val="nil"/>
              <w:bottom w:val="nil"/>
              <w:right w:val="nil"/>
            </w:tcBorders>
            <w:shd w:val="clear" w:color="000000" w:fill="CAE7F3"/>
            <w:noWrap/>
            <w:vAlign w:val="center"/>
            <w:hideMark/>
          </w:tcPr>
          <w:p w14:paraId="5C7F12AA" w14:textId="77777777" w:rsidR="007619F4" w:rsidRPr="001F1F3C" w:rsidRDefault="007619F4" w:rsidP="00F65F2C">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c>
          <w:tcPr>
            <w:tcW w:w="1224" w:type="dxa"/>
            <w:tcBorders>
              <w:top w:val="nil"/>
              <w:left w:val="nil"/>
              <w:bottom w:val="nil"/>
              <w:right w:val="nil"/>
            </w:tcBorders>
            <w:shd w:val="clear" w:color="000000" w:fill="CAE7F3"/>
            <w:noWrap/>
            <w:vAlign w:val="center"/>
            <w:hideMark/>
          </w:tcPr>
          <w:p w14:paraId="11FBF5BA" w14:textId="77777777" w:rsidR="007619F4" w:rsidRPr="001F1F3C" w:rsidRDefault="007619F4" w:rsidP="00F65F2C">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r>
      <w:tr w:rsidR="00063B16" w:rsidRPr="001F1F3C" w14:paraId="07025A7F" w14:textId="77777777" w:rsidTr="007B2D68">
        <w:trPr>
          <w:trHeight w:val="240"/>
        </w:trPr>
        <w:tc>
          <w:tcPr>
            <w:tcW w:w="1407" w:type="dxa"/>
            <w:tcBorders>
              <w:top w:val="nil"/>
              <w:left w:val="nil"/>
              <w:bottom w:val="nil"/>
              <w:right w:val="nil"/>
            </w:tcBorders>
            <w:shd w:val="clear" w:color="000000" w:fill="CAE7F3"/>
            <w:noWrap/>
            <w:hideMark/>
          </w:tcPr>
          <w:p w14:paraId="6DE7AFCB" w14:textId="7F45664C" w:rsidR="00063B16" w:rsidRPr="00A727FB" w:rsidRDefault="00063B16" w:rsidP="00063B16">
            <w:pPr>
              <w:spacing w:after="0" w:line="360" w:lineRule="auto"/>
              <w:ind w:left="0"/>
              <w:jc w:val="left"/>
              <w:rPr>
                <w:rFonts w:eastAsia="Times New Roman" w:cs="Arial"/>
                <w:sz w:val="18"/>
                <w:szCs w:val="18"/>
                <w:lang w:eastAsia="en-AU"/>
              </w:rPr>
            </w:pPr>
            <w:r w:rsidRPr="00063B16">
              <w:rPr>
                <w:sz w:val="18"/>
              </w:rPr>
              <w:t>Coal</w:t>
            </w:r>
          </w:p>
        </w:tc>
        <w:tc>
          <w:tcPr>
            <w:tcW w:w="1287" w:type="dxa"/>
            <w:tcBorders>
              <w:top w:val="nil"/>
              <w:left w:val="nil"/>
              <w:bottom w:val="nil"/>
              <w:right w:val="nil"/>
            </w:tcBorders>
            <w:shd w:val="clear" w:color="000000" w:fill="CAE7F3"/>
            <w:noWrap/>
            <w:hideMark/>
          </w:tcPr>
          <w:p w14:paraId="6C4FF8E0" w14:textId="52B66AA4" w:rsidR="00063B16" w:rsidRPr="00A727FB" w:rsidRDefault="00063B16" w:rsidP="00063B16">
            <w:pPr>
              <w:spacing w:after="0" w:line="360" w:lineRule="auto"/>
              <w:ind w:left="0"/>
              <w:jc w:val="right"/>
              <w:rPr>
                <w:rFonts w:eastAsia="Times New Roman" w:cs="Arial"/>
                <w:sz w:val="18"/>
                <w:szCs w:val="18"/>
                <w:lang w:eastAsia="en-AU"/>
              </w:rPr>
            </w:pPr>
            <w:r w:rsidRPr="00063B16">
              <w:rPr>
                <w:sz w:val="18"/>
              </w:rPr>
              <w:t xml:space="preserve"> 1,936.9 </w:t>
            </w:r>
          </w:p>
        </w:tc>
        <w:tc>
          <w:tcPr>
            <w:tcW w:w="1236" w:type="dxa"/>
            <w:tcBorders>
              <w:top w:val="nil"/>
              <w:left w:val="nil"/>
              <w:bottom w:val="nil"/>
              <w:right w:val="nil"/>
            </w:tcBorders>
            <w:shd w:val="clear" w:color="000000" w:fill="CAE7F3"/>
            <w:noWrap/>
            <w:hideMark/>
          </w:tcPr>
          <w:p w14:paraId="530BAC93" w14:textId="39840BDD" w:rsidR="00063B16" w:rsidRPr="00A727FB" w:rsidRDefault="00063B16" w:rsidP="00063B16">
            <w:pPr>
              <w:spacing w:after="0" w:line="360" w:lineRule="auto"/>
              <w:ind w:left="0"/>
              <w:jc w:val="right"/>
              <w:rPr>
                <w:rFonts w:eastAsia="Times New Roman" w:cs="Arial"/>
                <w:sz w:val="18"/>
                <w:szCs w:val="18"/>
                <w:lang w:eastAsia="en-AU"/>
              </w:rPr>
            </w:pPr>
            <w:r w:rsidRPr="00063B16">
              <w:rPr>
                <w:sz w:val="18"/>
              </w:rPr>
              <w:t>31.5</w:t>
            </w:r>
          </w:p>
        </w:tc>
        <w:tc>
          <w:tcPr>
            <w:tcW w:w="278" w:type="dxa"/>
            <w:tcBorders>
              <w:top w:val="nil"/>
              <w:left w:val="nil"/>
              <w:bottom w:val="nil"/>
              <w:right w:val="nil"/>
            </w:tcBorders>
            <w:shd w:val="clear" w:color="000000" w:fill="CAE7F3"/>
            <w:noWrap/>
            <w:hideMark/>
          </w:tcPr>
          <w:p w14:paraId="01E85F58" w14:textId="19C7E778" w:rsidR="00063B16" w:rsidRPr="001F1F3C" w:rsidRDefault="00063B16" w:rsidP="00063B16">
            <w:pPr>
              <w:spacing w:after="0" w:line="360" w:lineRule="auto"/>
              <w:ind w:left="0"/>
              <w:jc w:val="right"/>
              <w:rPr>
                <w:rFonts w:eastAsia="Times New Roman" w:cs="Arial"/>
                <w:sz w:val="18"/>
                <w:szCs w:val="18"/>
                <w:lang w:eastAsia="en-AU"/>
              </w:rPr>
            </w:pPr>
          </w:p>
        </w:tc>
        <w:tc>
          <w:tcPr>
            <w:tcW w:w="1462" w:type="dxa"/>
            <w:tcBorders>
              <w:top w:val="nil"/>
              <w:left w:val="nil"/>
              <w:bottom w:val="nil"/>
              <w:right w:val="nil"/>
            </w:tcBorders>
            <w:shd w:val="clear" w:color="000000" w:fill="CAE7F3"/>
            <w:noWrap/>
            <w:hideMark/>
          </w:tcPr>
          <w:p w14:paraId="4A9E6193" w14:textId="2EABC1DA" w:rsidR="00063B16" w:rsidRPr="00A727FB" w:rsidRDefault="00063B16" w:rsidP="00063B16">
            <w:pPr>
              <w:spacing w:after="0" w:line="360" w:lineRule="auto"/>
              <w:ind w:left="0"/>
              <w:jc w:val="right"/>
              <w:rPr>
                <w:rFonts w:eastAsia="Times New Roman" w:cs="Arial"/>
                <w:sz w:val="18"/>
                <w:szCs w:val="18"/>
                <w:lang w:eastAsia="en-AU"/>
              </w:rPr>
            </w:pPr>
            <w:r w:rsidRPr="00063B16">
              <w:rPr>
                <w:sz w:val="18"/>
              </w:rPr>
              <w:t>-1.0</w:t>
            </w:r>
          </w:p>
        </w:tc>
        <w:tc>
          <w:tcPr>
            <w:tcW w:w="1224" w:type="dxa"/>
            <w:tcBorders>
              <w:top w:val="nil"/>
              <w:left w:val="nil"/>
              <w:bottom w:val="nil"/>
              <w:right w:val="nil"/>
            </w:tcBorders>
            <w:shd w:val="clear" w:color="000000" w:fill="CAE7F3"/>
            <w:noWrap/>
            <w:hideMark/>
          </w:tcPr>
          <w:p w14:paraId="39121D7F" w14:textId="33A4A7E9" w:rsidR="00063B16" w:rsidRPr="00A727FB" w:rsidRDefault="00063B16" w:rsidP="00063B16">
            <w:pPr>
              <w:spacing w:after="0" w:line="360" w:lineRule="auto"/>
              <w:ind w:left="0"/>
              <w:jc w:val="right"/>
              <w:rPr>
                <w:rFonts w:eastAsia="Times New Roman" w:cs="Arial"/>
                <w:sz w:val="18"/>
                <w:szCs w:val="18"/>
                <w:lang w:eastAsia="en-AU"/>
              </w:rPr>
            </w:pPr>
            <w:r w:rsidRPr="00063B16">
              <w:rPr>
                <w:sz w:val="18"/>
              </w:rPr>
              <w:t>-1.9</w:t>
            </w:r>
          </w:p>
        </w:tc>
      </w:tr>
      <w:tr w:rsidR="00063B16" w:rsidRPr="001F1F3C" w14:paraId="25AB0C0F" w14:textId="77777777" w:rsidTr="007B2D68">
        <w:trPr>
          <w:trHeight w:val="240"/>
        </w:trPr>
        <w:tc>
          <w:tcPr>
            <w:tcW w:w="1407" w:type="dxa"/>
            <w:tcBorders>
              <w:top w:val="nil"/>
              <w:left w:val="nil"/>
              <w:bottom w:val="nil"/>
              <w:right w:val="nil"/>
            </w:tcBorders>
            <w:shd w:val="clear" w:color="000000" w:fill="CAE7F3"/>
            <w:noWrap/>
            <w:hideMark/>
          </w:tcPr>
          <w:p w14:paraId="005666F3" w14:textId="10D34A18" w:rsidR="00063B16" w:rsidRPr="00A727FB" w:rsidRDefault="00063B16" w:rsidP="00063B16">
            <w:pPr>
              <w:spacing w:after="0" w:line="360" w:lineRule="auto"/>
              <w:ind w:left="0"/>
              <w:jc w:val="left"/>
              <w:rPr>
                <w:rFonts w:eastAsia="Times New Roman" w:cs="Arial"/>
                <w:sz w:val="18"/>
                <w:szCs w:val="18"/>
                <w:lang w:eastAsia="en-AU"/>
              </w:rPr>
            </w:pPr>
            <w:r w:rsidRPr="00063B16">
              <w:rPr>
                <w:sz w:val="18"/>
              </w:rPr>
              <w:t>Oil</w:t>
            </w:r>
          </w:p>
        </w:tc>
        <w:tc>
          <w:tcPr>
            <w:tcW w:w="1287" w:type="dxa"/>
            <w:tcBorders>
              <w:top w:val="nil"/>
              <w:left w:val="nil"/>
              <w:bottom w:val="nil"/>
              <w:right w:val="nil"/>
            </w:tcBorders>
            <w:shd w:val="clear" w:color="000000" w:fill="CAE7F3"/>
            <w:noWrap/>
            <w:hideMark/>
          </w:tcPr>
          <w:p w14:paraId="0DB81D38" w14:textId="439893CE" w:rsidR="00063B16" w:rsidRPr="000953A6" w:rsidRDefault="00063B16" w:rsidP="00063B16">
            <w:pPr>
              <w:spacing w:after="0" w:line="360" w:lineRule="auto"/>
              <w:ind w:left="0"/>
              <w:jc w:val="right"/>
              <w:rPr>
                <w:rFonts w:eastAsia="Times New Roman" w:cs="Arial"/>
                <w:sz w:val="18"/>
                <w:szCs w:val="18"/>
                <w:lang w:eastAsia="en-AU"/>
              </w:rPr>
            </w:pPr>
            <w:r w:rsidRPr="007B2243">
              <w:rPr>
                <w:sz w:val="18"/>
                <w:szCs w:val="18"/>
              </w:rPr>
              <w:t xml:space="preserve"> 2,315.4 </w:t>
            </w:r>
          </w:p>
        </w:tc>
        <w:tc>
          <w:tcPr>
            <w:tcW w:w="1236" w:type="dxa"/>
            <w:tcBorders>
              <w:top w:val="nil"/>
              <w:left w:val="nil"/>
              <w:bottom w:val="nil"/>
              <w:right w:val="nil"/>
            </w:tcBorders>
            <w:shd w:val="clear" w:color="000000" w:fill="CAE7F3"/>
            <w:noWrap/>
            <w:hideMark/>
          </w:tcPr>
          <w:p w14:paraId="6B45B5E0" w14:textId="594F5CAD" w:rsidR="00063B16" w:rsidRPr="000953A6" w:rsidRDefault="00063B16" w:rsidP="00063B16">
            <w:pPr>
              <w:spacing w:after="0" w:line="360" w:lineRule="auto"/>
              <w:ind w:left="0"/>
              <w:jc w:val="right"/>
              <w:rPr>
                <w:rFonts w:eastAsia="Times New Roman" w:cs="Arial"/>
                <w:sz w:val="18"/>
                <w:szCs w:val="18"/>
                <w:lang w:eastAsia="en-AU"/>
              </w:rPr>
            </w:pPr>
            <w:r w:rsidRPr="007B2243">
              <w:rPr>
                <w:sz w:val="18"/>
                <w:szCs w:val="18"/>
              </w:rPr>
              <w:t>37.7</w:t>
            </w:r>
          </w:p>
        </w:tc>
        <w:tc>
          <w:tcPr>
            <w:tcW w:w="278" w:type="dxa"/>
            <w:tcBorders>
              <w:top w:val="nil"/>
              <w:left w:val="nil"/>
              <w:bottom w:val="nil"/>
              <w:right w:val="nil"/>
            </w:tcBorders>
            <w:shd w:val="clear" w:color="000000" w:fill="CAE7F3"/>
            <w:noWrap/>
            <w:hideMark/>
          </w:tcPr>
          <w:p w14:paraId="6C5F33FC" w14:textId="54A347AA" w:rsidR="00063B16" w:rsidRPr="000953A6" w:rsidRDefault="00063B16" w:rsidP="00063B16">
            <w:pPr>
              <w:spacing w:after="0" w:line="360" w:lineRule="auto"/>
              <w:ind w:left="0"/>
              <w:jc w:val="right"/>
              <w:rPr>
                <w:rFonts w:eastAsia="Times New Roman" w:cs="Arial"/>
                <w:sz w:val="18"/>
                <w:szCs w:val="18"/>
                <w:lang w:eastAsia="en-AU"/>
              </w:rPr>
            </w:pPr>
          </w:p>
        </w:tc>
        <w:tc>
          <w:tcPr>
            <w:tcW w:w="1462" w:type="dxa"/>
            <w:tcBorders>
              <w:top w:val="nil"/>
              <w:left w:val="nil"/>
              <w:bottom w:val="nil"/>
              <w:right w:val="nil"/>
            </w:tcBorders>
            <w:shd w:val="clear" w:color="000000" w:fill="CAE7F3"/>
            <w:noWrap/>
            <w:hideMark/>
          </w:tcPr>
          <w:p w14:paraId="1B5A4642" w14:textId="24B71A73" w:rsidR="00063B16" w:rsidRPr="000953A6" w:rsidRDefault="00063B16" w:rsidP="00063B16">
            <w:pPr>
              <w:spacing w:after="0" w:line="360" w:lineRule="auto"/>
              <w:ind w:left="0"/>
              <w:jc w:val="right"/>
              <w:rPr>
                <w:rFonts w:eastAsia="Times New Roman" w:cs="Arial"/>
                <w:sz w:val="18"/>
                <w:szCs w:val="18"/>
                <w:lang w:eastAsia="en-AU"/>
              </w:rPr>
            </w:pPr>
            <w:r w:rsidRPr="007B2243">
              <w:rPr>
                <w:sz w:val="18"/>
                <w:szCs w:val="18"/>
              </w:rPr>
              <w:t>2.1</w:t>
            </w:r>
          </w:p>
        </w:tc>
        <w:tc>
          <w:tcPr>
            <w:tcW w:w="1224" w:type="dxa"/>
            <w:tcBorders>
              <w:top w:val="nil"/>
              <w:left w:val="nil"/>
              <w:bottom w:val="nil"/>
              <w:right w:val="nil"/>
            </w:tcBorders>
            <w:shd w:val="clear" w:color="000000" w:fill="CAE7F3"/>
            <w:noWrap/>
            <w:hideMark/>
          </w:tcPr>
          <w:p w14:paraId="71460141" w14:textId="50E10FB4" w:rsidR="00063B16" w:rsidRPr="000953A6" w:rsidRDefault="00063B16" w:rsidP="00063B16">
            <w:pPr>
              <w:spacing w:after="0" w:line="360" w:lineRule="auto"/>
              <w:ind w:left="0"/>
              <w:jc w:val="right"/>
              <w:rPr>
                <w:rFonts w:eastAsia="Times New Roman" w:cs="Arial"/>
                <w:sz w:val="18"/>
                <w:szCs w:val="18"/>
                <w:lang w:eastAsia="en-AU"/>
              </w:rPr>
            </w:pPr>
            <w:r w:rsidRPr="007B2243">
              <w:rPr>
                <w:sz w:val="18"/>
                <w:szCs w:val="18"/>
              </w:rPr>
              <w:t xml:space="preserve"> 1.7</w:t>
            </w:r>
          </w:p>
        </w:tc>
      </w:tr>
      <w:tr w:rsidR="00063B16" w:rsidRPr="001F1F3C" w14:paraId="446C1679" w14:textId="77777777" w:rsidTr="007B2D68">
        <w:trPr>
          <w:trHeight w:val="240"/>
        </w:trPr>
        <w:tc>
          <w:tcPr>
            <w:tcW w:w="1407" w:type="dxa"/>
            <w:tcBorders>
              <w:top w:val="nil"/>
              <w:left w:val="nil"/>
              <w:bottom w:val="nil"/>
              <w:right w:val="nil"/>
            </w:tcBorders>
            <w:shd w:val="clear" w:color="000000" w:fill="CAE7F3"/>
            <w:noWrap/>
            <w:hideMark/>
          </w:tcPr>
          <w:p w14:paraId="2DFA4F3A" w14:textId="3D1426AE" w:rsidR="00063B16" w:rsidRPr="00A727FB" w:rsidRDefault="00063B16" w:rsidP="00063B16">
            <w:pPr>
              <w:spacing w:after="0" w:line="360" w:lineRule="auto"/>
              <w:ind w:left="0"/>
              <w:jc w:val="left"/>
              <w:rPr>
                <w:rFonts w:eastAsia="Times New Roman" w:cs="Arial"/>
                <w:sz w:val="18"/>
                <w:szCs w:val="18"/>
                <w:lang w:eastAsia="en-AU"/>
              </w:rPr>
            </w:pPr>
            <w:r w:rsidRPr="00063B16">
              <w:rPr>
                <w:sz w:val="18"/>
              </w:rPr>
              <w:t>Gas</w:t>
            </w:r>
          </w:p>
        </w:tc>
        <w:tc>
          <w:tcPr>
            <w:tcW w:w="1287" w:type="dxa"/>
            <w:tcBorders>
              <w:top w:val="nil"/>
              <w:left w:val="nil"/>
              <w:bottom w:val="nil"/>
              <w:right w:val="nil"/>
            </w:tcBorders>
            <w:shd w:val="clear" w:color="000000" w:fill="CAE7F3"/>
            <w:noWrap/>
            <w:hideMark/>
          </w:tcPr>
          <w:p w14:paraId="76BE2B40" w14:textId="703D7C80" w:rsidR="00063B16" w:rsidRPr="000953A6" w:rsidRDefault="00063B16" w:rsidP="00063B16">
            <w:pPr>
              <w:spacing w:after="0" w:line="360" w:lineRule="auto"/>
              <w:ind w:left="0"/>
              <w:jc w:val="right"/>
              <w:rPr>
                <w:rFonts w:eastAsia="Times New Roman" w:cs="Arial"/>
                <w:sz w:val="18"/>
                <w:szCs w:val="18"/>
                <w:lang w:eastAsia="en-AU"/>
              </w:rPr>
            </w:pPr>
            <w:r w:rsidRPr="007B2243">
              <w:rPr>
                <w:sz w:val="18"/>
                <w:szCs w:val="18"/>
              </w:rPr>
              <w:t xml:space="preserve"> 1,515.0 </w:t>
            </w:r>
          </w:p>
        </w:tc>
        <w:tc>
          <w:tcPr>
            <w:tcW w:w="1236" w:type="dxa"/>
            <w:tcBorders>
              <w:top w:val="nil"/>
              <w:left w:val="nil"/>
              <w:bottom w:val="nil"/>
              <w:right w:val="nil"/>
            </w:tcBorders>
            <w:shd w:val="clear" w:color="000000" w:fill="CAE7F3"/>
            <w:noWrap/>
            <w:hideMark/>
          </w:tcPr>
          <w:p w14:paraId="788E2584" w14:textId="45597EE5" w:rsidR="00063B16" w:rsidRPr="000953A6" w:rsidRDefault="00063B16" w:rsidP="00063B16">
            <w:pPr>
              <w:spacing w:after="0" w:line="360" w:lineRule="auto"/>
              <w:ind w:left="0"/>
              <w:jc w:val="right"/>
              <w:rPr>
                <w:rFonts w:eastAsia="Times New Roman" w:cs="Arial"/>
                <w:sz w:val="18"/>
                <w:szCs w:val="18"/>
                <w:lang w:eastAsia="en-AU"/>
              </w:rPr>
            </w:pPr>
            <w:r w:rsidRPr="007B2243">
              <w:rPr>
                <w:sz w:val="18"/>
                <w:szCs w:val="18"/>
              </w:rPr>
              <w:t>24.7</w:t>
            </w:r>
          </w:p>
        </w:tc>
        <w:tc>
          <w:tcPr>
            <w:tcW w:w="278" w:type="dxa"/>
            <w:tcBorders>
              <w:top w:val="nil"/>
              <w:left w:val="nil"/>
              <w:bottom w:val="nil"/>
              <w:right w:val="nil"/>
            </w:tcBorders>
            <w:shd w:val="clear" w:color="000000" w:fill="CAE7F3"/>
            <w:noWrap/>
            <w:hideMark/>
          </w:tcPr>
          <w:p w14:paraId="00422F1F" w14:textId="1565E75F" w:rsidR="00063B16" w:rsidRPr="000953A6" w:rsidRDefault="00063B16" w:rsidP="00063B16">
            <w:pPr>
              <w:spacing w:after="0" w:line="360" w:lineRule="auto"/>
              <w:ind w:left="0"/>
              <w:jc w:val="right"/>
              <w:rPr>
                <w:rFonts w:eastAsia="Times New Roman" w:cs="Arial"/>
                <w:sz w:val="18"/>
                <w:szCs w:val="18"/>
                <w:lang w:eastAsia="en-AU"/>
              </w:rPr>
            </w:pPr>
          </w:p>
        </w:tc>
        <w:tc>
          <w:tcPr>
            <w:tcW w:w="1462" w:type="dxa"/>
            <w:tcBorders>
              <w:top w:val="nil"/>
              <w:left w:val="nil"/>
              <w:bottom w:val="nil"/>
              <w:right w:val="nil"/>
            </w:tcBorders>
            <w:shd w:val="clear" w:color="000000" w:fill="CAE7F3"/>
            <w:noWrap/>
            <w:hideMark/>
          </w:tcPr>
          <w:p w14:paraId="0616569D" w14:textId="54C0D08E" w:rsidR="00063B16" w:rsidRPr="000953A6" w:rsidRDefault="00063B16" w:rsidP="00063B16">
            <w:pPr>
              <w:spacing w:after="0" w:line="360" w:lineRule="auto"/>
              <w:ind w:left="0"/>
              <w:jc w:val="right"/>
              <w:rPr>
                <w:rFonts w:eastAsia="Times New Roman" w:cs="Arial"/>
                <w:sz w:val="18"/>
                <w:szCs w:val="18"/>
                <w:lang w:eastAsia="en-AU"/>
              </w:rPr>
            </w:pPr>
            <w:r w:rsidRPr="007B2243">
              <w:rPr>
                <w:sz w:val="18"/>
                <w:szCs w:val="18"/>
              </w:rPr>
              <w:t>1.1</w:t>
            </w:r>
          </w:p>
        </w:tc>
        <w:tc>
          <w:tcPr>
            <w:tcW w:w="1224" w:type="dxa"/>
            <w:tcBorders>
              <w:top w:val="nil"/>
              <w:left w:val="nil"/>
              <w:bottom w:val="nil"/>
              <w:right w:val="nil"/>
            </w:tcBorders>
            <w:shd w:val="clear" w:color="000000" w:fill="CAE7F3"/>
            <w:noWrap/>
            <w:hideMark/>
          </w:tcPr>
          <w:p w14:paraId="220567CE" w14:textId="1F000158" w:rsidR="00063B16" w:rsidRPr="000953A6" w:rsidRDefault="00063B16" w:rsidP="00063B16">
            <w:pPr>
              <w:spacing w:after="0" w:line="360" w:lineRule="auto"/>
              <w:ind w:left="0"/>
              <w:jc w:val="right"/>
              <w:rPr>
                <w:rFonts w:eastAsia="Times New Roman" w:cs="Arial"/>
                <w:sz w:val="18"/>
                <w:szCs w:val="18"/>
                <w:lang w:eastAsia="en-AU"/>
              </w:rPr>
            </w:pPr>
            <w:r w:rsidRPr="007B2243">
              <w:rPr>
                <w:sz w:val="18"/>
                <w:szCs w:val="18"/>
              </w:rPr>
              <w:t xml:space="preserve"> 2.9</w:t>
            </w:r>
          </w:p>
        </w:tc>
      </w:tr>
      <w:tr w:rsidR="00450EB7" w:rsidRPr="001F1F3C" w14:paraId="0C2E0F95" w14:textId="77777777" w:rsidTr="007B2D68">
        <w:trPr>
          <w:trHeight w:val="385"/>
        </w:trPr>
        <w:tc>
          <w:tcPr>
            <w:tcW w:w="1407" w:type="dxa"/>
            <w:tcBorders>
              <w:top w:val="nil"/>
              <w:left w:val="nil"/>
              <w:bottom w:val="nil"/>
              <w:right w:val="nil"/>
            </w:tcBorders>
            <w:shd w:val="clear" w:color="000000" w:fill="CAE7F3"/>
            <w:noWrap/>
            <w:hideMark/>
          </w:tcPr>
          <w:p w14:paraId="01A7024E" w14:textId="6508C3A6" w:rsidR="00450EB7" w:rsidRPr="00A727FB" w:rsidRDefault="00450EB7" w:rsidP="00450EB7">
            <w:pPr>
              <w:spacing w:after="0" w:line="480" w:lineRule="auto"/>
              <w:ind w:left="0"/>
              <w:jc w:val="left"/>
              <w:rPr>
                <w:rFonts w:eastAsia="Times New Roman" w:cs="Arial"/>
                <w:sz w:val="18"/>
                <w:szCs w:val="18"/>
                <w:lang w:eastAsia="en-AU"/>
              </w:rPr>
            </w:pPr>
            <w:r w:rsidRPr="00063B16">
              <w:rPr>
                <w:sz w:val="18"/>
              </w:rPr>
              <w:t>Renewables</w:t>
            </w:r>
          </w:p>
        </w:tc>
        <w:tc>
          <w:tcPr>
            <w:tcW w:w="1287" w:type="dxa"/>
            <w:tcBorders>
              <w:top w:val="nil"/>
              <w:left w:val="nil"/>
              <w:bottom w:val="nil"/>
              <w:right w:val="nil"/>
            </w:tcBorders>
            <w:shd w:val="clear" w:color="000000" w:fill="CAE7F3"/>
            <w:noWrap/>
            <w:hideMark/>
          </w:tcPr>
          <w:p w14:paraId="7F101A23" w14:textId="5C3071F9" w:rsidR="00450EB7" w:rsidRPr="000953A6" w:rsidRDefault="00450EB7" w:rsidP="00450EB7">
            <w:pPr>
              <w:spacing w:after="0" w:line="480" w:lineRule="auto"/>
              <w:ind w:left="0"/>
              <w:jc w:val="right"/>
              <w:rPr>
                <w:rFonts w:eastAsia="Times New Roman" w:cs="Arial"/>
                <w:sz w:val="18"/>
                <w:szCs w:val="18"/>
                <w:lang w:eastAsia="en-AU"/>
              </w:rPr>
            </w:pPr>
            <w:r w:rsidRPr="00CB4EBE">
              <w:rPr>
                <w:sz w:val="18"/>
                <w:szCs w:val="18"/>
              </w:rPr>
              <w:t xml:space="preserve"> 378.7 </w:t>
            </w:r>
          </w:p>
        </w:tc>
        <w:tc>
          <w:tcPr>
            <w:tcW w:w="1236" w:type="dxa"/>
            <w:tcBorders>
              <w:top w:val="nil"/>
              <w:left w:val="nil"/>
              <w:bottom w:val="nil"/>
              <w:right w:val="nil"/>
            </w:tcBorders>
            <w:shd w:val="clear" w:color="000000" w:fill="CAE7F3"/>
            <w:noWrap/>
            <w:hideMark/>
          </w:tcPr>
          <w:p w14:paraId="27C7AC93" w14:textId="49914D79" w:rsidR="00450EB7" w:rsidRPr="000953A6" w:rsidRDefault="00450EB7" w:rsidP="00450EB7">
            <w:pPr>
              <w:spacing w:after="0" w:line="480" w:lineRule="auto"/>
              <w:ind w:left="0"/>
              <w:jc w:val="right"/>
              <w:rPr>
                <w:rFonts w:eastAsia="Times New Roman" w:cs="Arial"/>
                <w:sz w:val="18"/>
                <w:szCs w:val="18"/>
                <w:lang w:eastAsia="en-AU"/>
              </w:rPr>
            </w:pPr>
            <w:r w:rsidRPr="00CB4EBE">
              <w:rPr>
                <w:sz w:val="18"/>
                <w:szCs w:val="18"/>
              </w:rPr>
              <w:t>6.2</w:t>
            </w:r>
          </w:p>
        </w:tc>
        <w:tc>
          <w:tcPr>
            <w:tcW w:w="278" w:type="dxa"/>
            <w:tcBorders>
              <w:top w:val="nil"/>
              <w:left w:val="nil"/>
              <w:bottom w:val="nil"/>
              <w:right w:val="nil"/>
            </w:tcBorders>
            <w:shd w:val="clear" w:color="000000" w:fill="CAE7F3"/>
            <w:noWrap/>
            <w:hideMark/>
          </w:tcPr>
          <w:p w14:paraId="32344C29" w14:textId="23E59DB4" w:rsidR="00450EB7" w:rsidRPr="000953A6" w:rsidRDefault="00450EB7" w:rsidP="00450EB7">
            <w:pPr>
              <w:spacing w:after="0" w:line="480" w:lineRule="auto"/>
              <w:ind w:left="0"/>
              <w:jc w:val="right"/>
              <w:rPr>
                <w:rFonts w:eastAsia="Times New Roman" w:cs="Arial"/>
                <w:sz w:val="18"/>
                <w:szCs w:val="18"/>
                <w:lang w:eastAsia="en-AU"/>
              </w:rPr>
            </w:pPr>
          </w:p>
        </w:tc>
        <w:tc>
          <w:tcPr>
            <w:tcW w:w="1462" w:type="dxa"/>
            <w:tcBorders>
              <w:top w:val="nil"/>
              <w:left w:val="nil"/>
              <w:bottom w:val="nil"/>
              <w:right w:val="nil"/>
            </w:tcBorders>
            <w:shd w:val="clear" w:color="000000" w:fill="CAE7F3"/>
            <w:noWrap/>
            <w:hideMark/>
          </w:tcPr>
          <w:p w14:paraId="1B5A82AF" w14:textId="66560A00" w:rsidR="00450EB7" w:rsidRPr="000953A6" w:rsidRDefault="00450EB7" w:rsidP="00450EB7">
            <w:pPr>
              <w:spacing w:after="0" w:line="480" w:lineRule="auto"/>
              <w:ind w:left="0"/>
              <w:jc w:val="right"/>
              <w:rPr>
                <w:rFonts w:eastAsia="Times New Roman" w:cs="Arial"/>
                <w:sz w:val="18"/>
                <w:szCs w:val="18"/>
                <w:lang w:eastAsia="en-AU"/>
              </w:rPr>
            </w:pPr>
            <w:r w:rsidRPr="00CB4EBE">
              <w:rPr>
                <w:sz w:val="18"/>
                <w:szCs w:val="18"/>
              </w:rPr>
              <w:t>5.3</w:t>
            </w:r>
          </w:p>
        </w:tc>
        <w:tc>
          <w:tcPr>
            <w:tcW w:w="1224" w:type="dxa"/>
            <w:tcBorders>
              <w:top w:val="nil"/>
              <w:left w:val="nil"/>
              <w:bottom w:val="nil"/>
              <w:right w:val="nil"/>
            </w:tcBorders>
            <w:shd w:val="clear" w:color="000000" w:fill="CAE7F3"/>
            <w:noWrap/>
            <w:hideMark/>
          </w:tcPr>
          <w:p w14:paraId="7A54397B" w14:textId="0DCA832F" w:rsidR="00450EB7" w:rsidRPr="000953A6" w:rsidRDefault="00450EB7" w:rsidP="00450EB7">
            <w:pPr>
              <w:spacing w:after="0" w:line="480" w:lineRule="auto"/>
              <w:ind w:left="0"/>
              <w:jc w:val="right"/>
              <w:rPr>
                <w:rFonts w:eastAsia="Times New Roman" w:cs="Arial"/>
                <w:sz w:val="18"/>
                <w:szCs w:val="18"/>
                <w:lang w:eastAsia="en-AU"/>
              </w:rPr>
            </w:pPr>
            <w:r w:rsidRPr="00CB4EBE">
              <w:rPr>
                <w:sz w:val="18"/>
                <w:szCs w:val="18"/>
              </w:rPr>
              <w:t xml:space="preserve"> 3.2</w:t>
            </w:r>
          </w:p>
        </w:tc>
      </w:tr>
      <w:tr w:rsidR="00063B16" w:rsidRPr="001F1F3C" w14:paraId="71006E11" w14:textId="77777777" w:rsidTr="007B2D68">
        <w:trPr>
          <w:trHeight w:val="240"/>
        </w:trPr>
        <w:tc>
          <w:tcPr>
            <w:tcW w:w="1407" w:type="dxa"/>
            <w:tcBorders>
              <w:top w:val="nil"/>
              <w:left w:val="nil"/>
              <w:bottom w:val="nil"/>
              <w:right w:val="nil"/>
            </w:tcBorders>
            <w:shd w:val="clear" w:color="000000" w:fill="CAE7F3"/>
            <w:noWrap/>
            <w:hideMark/>
          </w:tcPr>
          <w:p w14:paraId="5E18902F" w14:textId="0F49AFC3" w:rsidR="00063B16" w:rsidRPr="00A727FB" w:rsidRDefault="00063B16" w:rsidP="00063B16">
            <w:pPr>
              <w:spacing w:after="0" w:line="360" w:lineRule="auto"/>
              <w:ind w:left="0"/>
              <w:jc w:val="left"/>
              <w:rPr>
                <w:rFonts w:eastAsia="Times New Roman" w:cs="Arial"/>
                <w:b/>
                <w:bCs/>
                <w:sz w:val="18"/>
                <w:szCs w:val="18"/>
                <w:lang w:eastAsia="en-AU"/>
              </w:rPr>
            </w:pPr>
            <w:r w:rsidRPr="00063B16">
              <w:rPr>
                <w:b/>
                <w:sz w:val="18"/>
              </w:rPr>
              <w:t>Total</w:t>
            </w:r>
          </w:p>
        </w:tc>
        <w:tc>
          <w:tcPr>
            <w:tcW w:w="1287" w:type="dxa"/>
            <w:tcBorders>
              <w:top w:val="nil"/>
              <w:left w:val="nil"/>
              <w:bottom w:val="nil"/>
              <w:right w:val="nil"/>
            </w:tcBorders>
            <w:shd w:val="clear" w:color="000000" w:fill="CAE7F3"/>
            <w:noWrap/>
            <w:hideMark/>
          </w:tcPr>
          <w:p w14:paraId="6F6038BB" w14:textId="288BED91" w:rsidR="00063B16" w:rsidRPr="00A727FB" w:rsidRDefault="00063B16" w:rsidP="00063B16">
            <w:pPr>
              <w:spacing w:after="0" w:line="360" w:lineRule="auto"/>
              <w:ind w:left="0"/>
              <w:jc w:val="right"/>
              <w:rPr>
                <w:rFonts w:eastAsia="Times New Roman" w:cs="Arial"/>
                <w:b/>
                <w:bCs/>
                <w:sz w:val="18"/>
                <w:szCs w:val="18"/>
                <w:lang w:eastAsia="en-AU"/>
              </w:rPr>
            </w:pPr>
            <w:r w:rsidRPr="00063B16">
              <w:rPr>
                <w:b/>
                <w:sz w:val="18"/>
              </w:rPr>
              <w:t xml:space="preserve"> 6,145.8 </w:t>
            </w:r>
          </w:p>
        </w:tc>
        <w:tc>
          <w:tcPr>
            <w:tcW w:w="1236" w:type="dxa"/>
            <w:tcBorders>
              <w:top w:val="nil"/>
              <w:left w:val="nil"/>
              <w:bottom w:val="nil"/>
              <w:right w:val="nil"/>
            </w:tcBorders>
            <w:shd w:val="clear" w:color="000000" w:fill="CAE7F3"/>
            <w:noWrap/>
            <w:hideMark/>
          </w:tcPr>
          <w:p w14:paraId="596D6015" w14:textId="03F6300C" w:rsidR="00063B16" w:rsidRPr="00A727FB" w:rsidRDefault="00EB3DD9" w:rsidP="00063B16">
            <w:pPr>
              <w:spacing w:after="0" w:line="360" w:lineRule="auto"/>
              <w:ind w:left="0"/>
              <w:jc w:val="right"/>
              <w:rPr>
                <w:rFonts w:eastAsia="Times New Roman" w:cs="Arial"/>
                <w:b/>
                <w:bCs/>
                <w:sz w:val="18"/>
                <w:szCs w:val="18"/>
                <w:lang w:eastAsia="en-AU"/>
              </w:rPr>
            </w:pPr>
            <w:r>
              <w:rPr>
                <w:b/>
                <w:sz w:val="18"/>
              </w:rPr>
              <w:t>100.0</w:t>
            </w:r>
          </w:p>
        </w:tc>
        <w:tc>
          <w:tcPr>
            <w:tcW w:w="278" w:type="dxa"/>
            <w:tcBorders>
              <w:top w:val="nil"/>
              <w:left w:val="nil"/>
              <w:bottom w:val="nil"/>
              <w:right w:val="nil"/>
            </w:tcBorders>
            <w:shd w:val="clear" w:color="000000" w:fill="CAE7F3"/>
            <w:noWrap/>
            <w:hideMark/>
          </w:tcPr>
          <w:p w14:paraId="540BF319" w14:textId="5FB22F92" w:rsidR="00063B16" w:rsidRPr="001F1F3C" w:rsidRDefault="00063B16" w:rsidP="00063B16">
            <w:pPr>
              <w:spacing w:after="0" w:line="360" w:lineRule="auto"/>
              <w:ind w:left="0"/>
              <w:jc w:val="right"/>
              <w:rPr>
                <w:rFonts w:eastAsia="Times New Roman" w:cs="Arial"/>
                <w:b/>
                <w:bCs/>
                <w:sz w:val="18"/>
                <w:szCs w:val="18"/>
                <w:lang w:eastAsia="en-AU"/>
              </w:rPr>
            </w:pPr>
          </w:p>
        </w:tc>
        <w:tc>
          <w:tcPr>
            <w:tcW w:w="1462" w:type="dxa"/>
            <w:tcBorders>
              <w:top w:val="nil"/>
              <w:left w:val="nil"/>
              <w:bottom w:val="nil"/>
              <w:right w:val="nil"/>
            </w:tcBorders>
            <w:shd w:val="clear" w:color="000000" w:fill="CAE7F3"/>
            <w:noWrap/>
            <w:hideMark/>
          </w:tcPr>
          <w:p w14:paraId="6979EE61" w14:textId="5C57899A" w:rsidR="00063B16" w:rsidRPr="00A727FB" w:rsidRDefault="00EB3DD9" w:rsidP="00063B16">
            <w:pPr>
              <w:spacing w:after="0" w:line="360" w:lineRule="auto"/>
              <w:ind w:left="0"/>
              <w:jc w:val="right"/>
              <w:rPr>
                <w:rFonts w:eastAsia="Times New Roman" w:cs="Arial"/>
                <w:b/>
                <w:bCs/>
                <w:sz w:val="18"/>
                <w:szCs w:val="18"/>
                <w:lang w:eastAsia="en-AU"/>
              </w:rPr>
            </w:pPr>
            <w:r>
              <w:rPr>
                <w:b/>
                <w:sz w:val="18"/>
              </w:rPr>
              <w:t>1.1</w:t>
            </w:r>
          </w:p>
        </w:tc>
        <w:tc>
          <w:tcPr>
            <w:tcW w:w="1224" w:type="dxa"/>
            <w:tcBorders>
              <w:top w:val="nil"/>
              <w:left w:val="nil"/>
              <w:bottom w:val="nil"/>
              <w:right w:val="nil"/>
            </w:tcBorders>
            <w:shd w:val="clear" w:color="000000" w:fill="CAE7F3"/>
            <w:noWrap/>
            <w:hideMark/>
          </w:tcPr>
          <w:p w14:paraId="05BAF973" w14:textId="23B5E129" w:rsidR="00063B16" w:rsidRPr="00A727FB" w:rsidRDefault="00063B16" w:rsidP="00EB3DD9">
            <w:pPr>
              <w:spacing w:after="0" w:line="360" w:lineRule="auto"/>
              <w:ind w:left="0"/>
              <w:jc w:val="right"/>
              <w:rPr>
                <w:rFonts w:eastAsia="Times New Roman" w:cs="Arial"/>
                <w:b/>
                <w:bCs/>
                <w:sz w:val="18"/>
                <w:szCs w:val="18"/>
                <w:lang w:eastAsia="en-AU"/>
              </w:rPr>
            </w:pPr>
            <w:r w:rsidRPr="00063B16">
              <w:rPr>
                <w:b/>
                <w:sz w:val="18"/>
              </w:rPr>
              <w:t xml:space="preserve"> 0.</w:t>
            </w:r>
            <w:r w:rsidR="00EB3DD9">
              <w:rPr>
                <w:b/>
                <w:sz w:val="18"/>
              </w:rPr>
              <w:t>8</w:t>
            </w:r>
          </w:p>
        </w:tc>
      </w:tr>
    </w:tbl>
    <w:bookmarkEnd w:id="55"/>
    <w:bookmarkEnd w:id="56"/>
    <w:p w14:paraId="388B7258" w14:textId="2E693350" w:rsidR="001F4600" w:rsidRPr="001F1F3C" w:rsidRDefault="001F4600" w:rsidP="00D4044A">
      <w:pPr>
        <w:pStyle w:val="Source"/>
        <w:jc w:val="left"/>
        <w:rPr>
          <w:color w:val="595A5B" w:themeColor="text1"/>
        </w:rPr>
      </w:pPr>
      <w:r w:rsidRPr="001F1F3C">
        <w:rPr>
          <w:color w:val="595A5B" w:themeColor="text1"/>
        </w:rPr>
        <w:t xml:space="preserve">Source: </w:t>
      </w:r>
      <w:r w:rsidRPr="001F1F3C">
        <w:rPr>
          <w:color w:val="595A5B" w:themeColor="text1"/>
          <w:szCs w:val="16"/>
        </w:rPr>
        <w:t xml:space="preserve">Department of </w:t>
      </w:r>
      <w:r w:rsidR="005A4AAD" w:rsidRPr="001F1F3C">
        <w:rPr>
          <w:color w:val="595A5B" w:themeColor="text1"/>
          <w:szCs w:val="16"/>
        </w:rPr>
        <w:t>the Environment and Energy</w:t>
      </w:r>
      <w:r w:rsidRPr="001F1F3C">
        <w:rPr>
          <w:color w:val="595A5B" w:themeColor="text1"/>
          <w:szCs w:val="16"/>
        </w:rPr>
        <w:t xml:space="preserve"> (</w:t>
      </w:r>
      <w:r w:rsidR="003F2CCE" w:rsidRPr="001F1F3C">
        <w:rPr>
          <w:color w:val="595A5B" w:themeColor="text1"/>
          <w:szCs w:val="16"/>
        </w:rPr>
        <w:t>2018</w:t>
      </w:r>
      <w:r w:rsidRPr="001F1F3C">
        <w:rPr>
          <w:color w:val="595A5B" w:themeColor="text1"/>
          <w:szCs w:val="16"/>
        </w:rPr>
        <w:t xml:space="preserve">) </w:t>
      </w:r>
      <w:r w:rsidRPr="001F1F3C">
        <w:rPr>
          <w:i/>
          <w:color w:val="595A5B" w:themeColor="text1"/>
          <w:szCs w:val="16"/>
        </w:rPr>
        <w:t>Australian Energy Statistics</w:t>
      </w:r>
      <w:r w:rsidRPr="001F1F3C">
        <w:rPr>
          <w:color w:val="595A5B" w:themeColor="text1"/>
          <w:szCs w:val="16"/>
        </w:rPr>
        <w:t xml:space="preserve">, </w:t>
      </w:r>
      <w:r w:rsidRPr="001F1F3C">
        <w:rPr>
          <w:color w:val="595A5B" w:themeColor="text1"/>
          <w:szCs w:val="16"/>
        </w:rPr>
        <w:br/>
        <w:t>Table C</w:t>
      </w:r>
    </w:p>
    <w:p w14:paraId="58AE70A9" w14:textId="1A7E2714" w:rsidR="007316BF" w:rsidRPr="001F1F3C" w:rsidRDefault="001F4600" w:rsidP="001F4600">
      <w:pPr>
        <w:pStyle w:val="BodyText"/>
      </w:pPr>
      <w:r w:rsidRPr="001F1F3C">
        <w:t xml:space="preserve">Coal remained the second largest fuel consumed in </w:t>
      </w:r>
      <w:r w:rsidR="003F2CCE" w:rsidRPr="001F1F3C">
        <w:t>2016–17</w:t>
      </w:r>
      <w:r w:rsidRPr="001F1F3C">
        <w:t>, accounting for 32 per cent</w:t>
      </w:r>
      <w:r w:rsidR="00143420">
        <w:t xml:space="preserve"> of energy consumption (Figure 2</w:t>
      </w:r>
      <w:r w:rsidR="006D1CB1">
        <w:t>.1</w:t>
      </w:r>
      <w:r w:rsidRPr="001F1F3C">
        <w:t xml:space="preserve">). </w:t>
      </w:r>
      <w:r w:rsidR="003A0C78">
        <w:t>Coal consumption fell by 1 per </w:t>
      </w:r>
      <w:r w:rsidR="00146DD2">
        <w:t>cent in 2016–17, reversing the growth of the</w:t>
      </w:r>
      <w:r w:rsidR="00094259">
        <w:t xml:space="preserve"> previous two years</w:t>
      </w:r>
      <w:r w:rsidR="00146DD2">
        <w:t>, and returning to the declining trend observed over the past decade.</w:t>
      </w:r>
      <w:r w:rsidR="00094259">
        <w:t xml:space="preserve"> </w:t>
      </w:r>
      <w:r w:rsidR="00E0095B" w:rsidRPr="00A727FB">
        <w:t xml:space="preserve">The </w:t>
      </w:r>
      <w:r w:rsidR="00063B16">
        <w:t xml:space="preserve">decline </w:t>
      </w:r>
      <w:r w:rsidR="00146DD2">
        <w:t xml:space="preserve">in 2016–17 </w:t>
      </w:r>
      <w:r w:rsidR="00063B16">
        <w:t>was caused by a large decline in brown coal consumption</w:t>
      </w:r>
      <w:r w:rsidR="00094259">
        <w:t xml:space="preserve"> </w:t>
      </w:r>
      <w:r w:rsidR="00291469">
        <w:t xml:space="preserve">after </w:t>
      </w:r>
      <w:r w:rsidR="00094259">
        <w:t xml:space="preserve">the closure of </w:t>
      </w:r>
      <w:r w:rsidR="00291469">
        <w:t xml:space="preserve">the </w:t>
      </w:r>
      <w:r w:rsidR="00094259">
        <w:t>Hazelwood</w:t>
      </w:r>
      <w:r w:rsidR="00632B3C">
        <w:t xml:space="preserve"> and Northern power station</w:t>
      </w:r>
      <w:r w:rsidR="00291469">
        <w:t>s</w:t>
      </w:r>
      <w:r w:rsidR="00063B16">
        <w:t>, wh</w:t>
      </w:r>
      <w:r w:rsidR="00E93D36">
        <w:t xml:space="preserve">ich </w:t>
      </w:r>
      <w:r w:rsidR="00291469">
        <w:t>more than of</w:t>
      </w:r>
      <w:r w:rsidR="00E93D36">
        <w:t>fset a</w:t>
      </w:r>
      <w:r w:rsidR="00291469">
        <w:t>n</w:t>
      </w:r>
      <w:r w:rsidR="00063B16">
        <w:t xml:space="preserve"> increase in black coal </w:t>
      </w:r>
      <w:r w:rsidR="00146DD2">
        <w:t>used for electricity generation</w:t>
      </w:r>
      <w:r w:rsidR="00063B16">
        <w:t>.</w:t>
      </w:r>
    </w:p>
    <w:p w14:paraId="1D30EDFF" w14:textId="4A4B6449" w:rsidR="001F4600" w:rsidRPr="001F1F3C" w:rsidRDefault="00FD0DED" w:rsidP="00082FE6">
      <w:pPr>
        <w:pStyle w:val="Caption"/>
        <w:ind w:left="-1985"/>
      </w:pPr>
      <w:bookmarkStart w:id="57" w:name="_Toc427614406"/>
      <w:bookmarkStart w:id="58" w:name="_Toc428388098"/>
      <w:bookmarkStart w:id="59" w:name="_Toc522198889"/>
      <w:bookmarkStart w:id="60" w:name="_Toc522199909"/>
      <w:bookmarkStart w:id="61" w:name="_Toc523777417"/>
      <w:r>
        <w:lastRenderedPageBreak/>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rsidR="003348D2">
        <w:t>.</w:t>
      </w:r>
      <w:r w:rsidR="00941B67">
        <w:rPr>
          <w:noProof/>
        </w:rPr>
        <w:fldChar w:fldCharType="begin"/>
      </w:r>
      <w:r w:rsidR="00941B67">
        <w:rPr>
          <w:noProof/>
        </w:rPr>
        <w:instrText xml:space="preserve"> SEQ Figure \* ARABIC \s 1 </w:instrText>
      </w:r>
      <w:r w:rsidR="00941B67">
        <w:rPr>
          <w:noProof/>
        </w:rPr>
        <w:fldChar w:fldCharType="separate"/>
      </w:r>
      <w:r w:rsidR="00D72ABB">
        <w:rPr>
          <w:noProof/>
        </w:rPr>
        <w:t>2</w:t>
      </w:r>
      <w:r w:rsidR="00941B67">
        <w:rPr>
          <w:noProof/>
        </w:rPr>
        <w:fldChar w:fldCharType="end"/>
      </w:r>
      <w:r>
        <w:t>:</w:t>
      </w:r>
      <w:r w:rsidR="00F91477">
        <w:t xml:space="preserve"> </w:t>
      </w:r>
      <w:r w:rsidR="001F4600" w:rsidRPr="001F1F3C">
        <w:t>Australian energy consumption, by fuel type</w:t>
      </w:r>
      <w:bookmarkEnd w:id="57"/>
      <w:bookmarkEnd w:id="58"/>
      <w:bookmarkEnd w:id="59"/>
      <w:bookmarkEnd w:id="60"/>
      <w:bookmarkEnd w:id="61"/>
      <w:r w:rsidR="001F4600" w:rsidRPr="001F1F3C">
        <w:t xml:space="preserve"> </w:t>
      </w:r>
    </w:p>
    <w:tbl>
      <w:tblPr>
        <w:tblStyle w:val="OCETable"/>
        <w:tblW w:w="6374" w:type="pct"/>
        <w:tblInd w:w="-1985" w:type="dxa"/>
        <w:tblLayout w:type="fixed"/>
        <w:tblLook w:val="04A0" w:firstRow="1" w:lastRow="0" w:firstColumn="1" w:lastColumn="0" w:noHBand="0" w:noVBand="1"/>
        <w:tblCaption w:val="Placeholder obejct only"/>
      </w:tblPr>
      <w:tblGrid>
        <w:gridCol w:w="8788"/>
      </w:tblGrid>
      <w:tr w:rsidR="001F4600" w:rsidRPr="001F1F3C" w14:paraId="6A55CE32" w14:textId="77777777" w:rsidTr="00E865C6">
        <w:trPr>
          <w:cnfStyle w:val="100000000000" w:firstRow="1" w:lastRow="0" w:firstColumn="0" w:lastColumn="0" w:oddVBand="0" w:evenVBand="0" w:oddHBand="0" w:evenHBand="0" w:firstRowFirstColumn="0" w:firstRowLastColumn="0" w:lastRowFirstColumn="0" w:lastRowLastColumn="0"/>
          <w:tblHeader/>
        </w:trPr>
        <w:tc>
          <w:tcPr>
            <w:tcW w:w="8788" w:type="dxa"/>
            <w:shd w:val="clear" w:color="auto" w:fill="auto"/>
          </w:tcPr>
          <w:p w14:paraId="79270E20" w14:textId="7D63106D" w:rsidR="001F4600" w:rsidRPr="001F1F3C" w:rsidRDefault="00542F3D" w:rsidP="00FB0286">
            <w:pPr>
              <w:pStyle w:val="PlaceholderWide"/>
              <w:jc w:val="right"/>
            </w:pPr>
            <w:r>
              <w:rPr>
                <w:noProof/>
                <w:lang w:eastAsia="en-AU"/>
              </w:rPr>
              <w:drawing>
                <wp:inline distT="0" distB="0" distL="0" distR="0" wp14:anchorId="0B68AE62" wp14:editId="605A3C86">
                  <wp:extent cx="5407660" cy="3243580"/>
                  <wp:effectExtent l="0" t="0" r="2540" b="0"/>
                  <wp:docPr id="16" name="Picture 16" descr="The figure shows Australian energy consumption, by fuel type in petajoules from 1976-77 to 2016-17" title="Figure 2.2: Australian energy consumption, by fuel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7660" cy="3243580"/>
                          </a:xfrm>
                          <a:prstGeom prst="rect">
                            <a:avLst/>
                          </a:prstGeom>
                          <a:noFill/>
                        </pic:spPr>
                      </pic:pic>
                    </a:graphicData>
                  </a:graphic>
                </wp:inline>
              </w:drawing>
            </w:r>
          </w:p>
        </w:tc>
      </w:tr>
    </w:tbl>
    <w:p w14:paraId="78D435A5" w14:textId="5DAE1BA5" w:rsidR="001F4600" w:rsidRPr="001F1F3C" w:rsidRDefault="001F4600" w:rsidP="00146FC9">
      <w:pPr>
        <w:pStyle w:val="SourceWide"/>
        <w:spacing w:after="480"/>
        <w:rPr>
          <w:color w:val="595A5B" w:themeColor="text1"/>
          <w:szCs w:val="16"/>
        </w:rPr>
      </w:pPr>
      <w:r w:rsidRPr="001F1F3C">
        <w:rPr>
          <w:color w:val="595A5B" w:themeColor="text1"/>
          <w:szCs w:val="16"/>
        </w:rPr>
        <w:t xml:space="preserve">Source: Department of </w:t>
      </w:r>
      <w:r w:rsidR="005A4AAD" w:rsidRPr="001F1F3C">
        <w:rPr>
          <w:color w:val="595A5B" w:themeColor="text1"/>
          <w:szCs w:val="16"/>
        </w:rPr>
        <w:t>the Environment and Energy</w:t>
      </w:r>
      <w:r w:rsidRPr="001F1F3C">
        <w:rPr>
          <w:color w:val="595A5B" w:themeColor="text1"/>
          <w:szCs w:val="16"/>
        </w:rPr>
        <w:t xml:space="preserve"> (</w:t>
      </w:r>
      <w:r w:rsidR="003F2CCE" w:rsidRPr="001F1F3C">
        <w:rPr>
          <w:color w:val="595A5B" w:themeColor="text1"/>
          <w:szCs w:val="16"/>
        </w:rPr>
        <w:t>2018</w:t>
      </w:r>
      <w:r w:rsidRPr="001F1F3C">
        <w:rPr>
          <w:color w:val="595A5B" w:themeColor="text1"/>
          <w:szCs w:val="16"/>
        </w:rPr>
        <w:t xml:space="preserve">) </w:t>
      </w:r>
      <w:r w:rsidRPr="001F1F3C">
        <w:rPr>
          <w:i/>
          <w:color w:val="595A5B" w:themeColor="text1"/>
          <w:szCs w:val="16"/>
        </w:rPr>
        <w:t>Australian Energy Statistics</w:t>
      </w:r>
      <w:r w:rsidR="00993493" w:rsidRPr="001F1F3C">
        <w:rPr>
          <w:color w:val="595A5B" w:themeColor="text1"/>
          <w:szCs w:val="16"/>
        </w:rPr>
        <w:t>, Table C</w:t>
      </w:r>
    </w:p>
    <w:p w14:paraId="2197FD7B" w14:textId="19D9CCA3" w:rsidR="008449C8" w:rsidRPr="00A727FB" w:rsidRDefault="008449C8" w:rsidP="008449C8">
      <w:pPr>
        <w:pStyle w:val="BodyText"/>
      </w:pPr>
      <w:r w:rsidRPr="001F1F3C">
        <w:t xml:space="preserve">Australia’s coal consumption </w:t>
      </w:r>
      <w:r>
        <w:t>in 2016</w:t>
      </w:r>
      <w:r w:rsidRPr="00A727FB">
        <w:t xml:space="preserve">–17 </w:t>
      </w:r>
      <w:r>
        <w:t xml:space="preserve">was 18 per cent lower </w:t>
      </w:r>
      <w:r w:rsidRPr="00A727FB">
        <w:t xml:space="preserve">than its peak in 2008–09, when its share of the energy mix was </w:t>
      </w:r>
      <w:r>
        <w:t>around</w:t>
      </w:r>
      <w:r w:rsidRPr="00A727FB">
        <w:t xml:space="preserve"> 40 per cent. Brown coal consumption in 2016–17</w:t>
      </w:r>
      <w:r>
        <w:t xml:space="preserve"> was around 2</w:t>
      </w:r>
      <w:r w:rsidRPr="00A727FB">
        <w:t>4 per cent lower than in 2008–09</w:t>
      </w:r>
      <w:r>
        <w:t>.</w:t>
      </w:r>
      <w:r w:rsidR="003E3FB5">
        <w:t xml:space="preserve"> This partly reflects the closure of twelve coal-fired power stations in the five years to 2016–17.</w:t>
      </w:r>
    </w:p>
    <w:p w14:paraId="001AE0D9" w14:textId="165DDD25" w:rsidR="004F50F5" w:rsidRPr="001F1F3C" w:rsidRDefault="00FE7DAB" w:rsidP="00FE7DAB">
      <w:pPr>
        <w:pStyle w:val="BodyText"/>
      </w:pPr>
      <w:r w:rsidRPr="001F1F3C">
        <w:t xml:space="preserve">Natural gas accounted for 25 per cent of energy consumption in </w:t>
      </w:r>
      <w:r w:rsidR="003F2CCE" w:rsidRPr="001F1F3C">
        <w:t>2016–17</w:t>
      </w:r>
      <w:r w:rsidRPr="001F1F3C">
        <w:t xml:space="preserve">. Gas consumption rose by </w:t>
      </w:r>
      <w:r w:rsidR="00E93D36">
        <w:t>1</w:t>
      </w:r>
      <w:r w:rsidRPr="00A727FB">
        <w:t xml:space="preserve"> per cent</w:t>
      </w:r>
      <w:r w:rsidR="004F50F5" w:rsidRPr="00A727FB">
        <w:t xml:space="preserve"> in </w:t>
      </w:r>
      <w:r w:rsidR="003F2CCE" w:rsidRPr="001F1F3C">
        <w:t>2016–17</w:t>
      </w:r>
      <w:r w:rsidRPr="001F1F3C">
        <w:t xml:space="preserve">, </w:t>
      </w:r>
      <w:r w:rsidR="00653FA9">
        <w:t>with</w:t>
      </w:r>
      <w:r w:rsidRPr="001F1F3C">
        <w:t xml:space="preserve"> increased use in mining in Queensland </w:t>
      </w:r>
      <w:r w:rsidR="00120EF1">
        <w:t xml:space="preserve">and Western Australia </w:t>
      </w:r>
      <w:r w:rsidRPr="001F1F3C">
        <w:t xml:space="preserve">to support the expansion of LNG exports. </w:t>
      </w:r>
      <w:r w:rsidR="004F50F5" w:rsidRPr="001F1F3C">
        <w:t>In</w:t>
      </w:r>
      <w:r w:rsidR="001F1E08" w:rsidRPr="001F1F3C">
        <w:t xml:space="preserve"> </w:t>
      </w:r>
      <w:r w:rsidRPr="001F1F3C">
        <w:t xml:space="preserve">LNG </w:t>
      </w:r>
      <w:r w:rsidR="001F1E08" w:rsidRPr="001F1F3C">
        <w:t xml:space="preserve">production, </w:t>
      </w:r>
      <w:r w:rsidRPr="001F1F3C">
        <w:t xml:space="preserve">around 9 per cent of gas </w:t>
      </w:r>
      <w:r w:rsidR="001F1E08" w:rsidRPr="001F1F3C">
        <w:t>flows are consumed by the plant</w:t>
      </w:r>
      <w:r w:rsidR="004F50F5" w:rsidRPr="001F1F3C">
        <w:t xml:space="preserve"> </w:t>
      </w:r>
      <w:r w:rsidR="00AA68CF">
        <w:t>during</w:t>
      </w:r>
      <w:r w:rsidR="00653FA9">
        <w:t xml:space="preserve"> liquefaction</w:t>
      </w:r>
      <w:r w:rsidR="004F50F5" w:rsidRPr="001F1F3C">
        <w:t>, with the remainder exported as LNG</w:t>
      </w:r>
      <w:r w:rsidR="001F1E08" w:rsidRPr="001F1F3C">
        <w:t xml:space="preserve">. </w:t>
      </w:r>
      <w:r w:rsidR="00120EF1">
        <w:t>Gas is also used at the LNG plant to generate electricity</w:t>
      </w:r>
      <w:r w:rsidR="00653FA9">
        <w:t>, which is included in the electricity generation sector in the AES</w:t>
      </w:r>
      <w:r w:rsidR="00120EF1">
        <w:t xml:space="preserve">. </w:t>
      </w:r>
      <w:r w:rsidR="00653FA9">
        <w:t xml:space="preserve">In total, </w:t>
      </w:r>
      <w:r w:rsidR="004F50F5" w:rsidRPr="001F1F3C">
        <w:t>LNG plants</w:t>
      </w:r>
      <w:r w:rsidR="00A35F73" w:rsidRPr="001F1F3C">
        <w:t xml:space="preserve"> accounted for </w:t>
      </w:r>
      <w:r w:rsidR="00E0095B" w:rsidRPr="001F1F3C">
        <w:t>a</w:t>
      </w:r>
      <w:r w:rsidR="001F1E08" w:rsidRPr="001F1F3C">
        <w:t>pproximately one</w:t>
      </w:r>
      <w:r w:rsidR="004F50F5" w:rsidRPr="001F1F3C">
        <w:t>-</w:t>
      </w:r>
      <w:r w:rsidR="00E0095B" w:rsidRPr="001F1F3C">
        <w:t>tenth of</w:t>
      </w:r>
      <w:r w:rsidRPr="001F1F3C">
        <w:t xml:space="preserve"> </w:t>
      </w:r>
      <w:r w:rsidR="004F50F5" w:rsidRPr="001F1F3C">
        <w:t>Australian</w:t>
      </w:r>
      <w:r w:rsidRPr="001F1F3C">
        <w:t xml:space="preserve"> gas consumption </w:t>
      </w:r>
      <w:r w:rsidR="00A35F73" w:rsidRPr="001F1F3C">
        <w:t xml:space="preserve">in </w:t>
      </w:r>
      <w:r w:rsidR="003F2CCE" w:rsidRPr="001F1F3C">
        <w:t>2016–17</w:t>
      </w:r>
      <w:r w:rsidR="00A35F73" w:rsidRPr="001F1F3C">
        <w:t xml:space="preserve"> </w:t>
      </w:r>
      <w:r w:rsidR="00143420">
        <w:t>(Figure 2</w:t>
      </w:r>
      <w:r w:rsidRPr="001F1F3C">
        <w:t>.3).</w:t>
      </w:r>
      <w:r w:rsidR="00A35F73" w:rsidRPr="001F1F3C">
        <w:t xml:space="preserve"> </w:t>
      </w:r>
    </w:p>
    <w:p w14:paraId="22309982" w14:textId="34B3EF22" w:rsidR="00FE7DAB" w:rsidRDefault="004F50F5" w:rsidP="00FE7DAB">
      <w:pPr>
        <w:pStyle w:val="BodyText"/>
      </w:pPr>
      <w:r w:rsidRPr="001F1F3C">
        <w:t>In contrast, a</w:t>
      </w:r>
      <w:r w:rsidR="00CD1EF8" w:rsidRPr="001F1F3C">
        <w:t xml:space="preserve"> decline in </w:t>
      </w:r>
      <w:r w:rsidRPr="001F1F3C">
        <w:t xml:space="preserve">gas </w:t>
      </w:r>
      <w:r w:rsidR="00CD1EF8" w:rsidRPr="001F1F3C">
        <w:t xml:space="preserve">consumption </w:t>
      </w:r>
      <w:r w:rsidRPr="001F1F3C">
        <w:t xml:space="preserve">in </w:t>
      </w:r>
      <w:r w:rsidR="003F2CCE" w:rsidRPr="001F1F3C">
        <w:t>2016–17</w:t>
      </w:r>
      <w:r w:rsidRPr="001F1F3C">
        <w:t xml:space="preserve"> </w:t>
      </w:r>
      <w:r w:rsidR="00CD1EF8" w:rsidRPr="001F1F3C">
        <w:t>was</w:t>
      </w:r>
      <w:r w:rsidR="00A35F73" w:rsidRPr="001F1F3C">
        <w:t xml:space="preserve"> observed </w:t>
      </w:r>
      <w:r w:rsidR="00580B89" w:rsidRPr="001F1F3C">
        <w:t xml:space="preserve">in </w:t>
      </w:r>
      <w:r w:rsidR="00CD1EF8" w:rsidRPr="001F1F3C">
        <w:t xml:space="preserve">the </w:t>
      </w:r>
      <w:r w:rsidR="00580B89" w:rsidRPr="001F1F3C">
        <w:t xml:space="preserve">manufacturing </w:t>
      </w:r>
      <w:r w:rsidR="00A35F73" w:rsidRPr="001F1F3C">
        <w:t>sector</w:t>
      </w:r>
      <w:r w:rsidR="00146FC9" w:rsidRPr="00A727FB">
        <w:t xml:space="preserve">, including in </w:t>
      </w:r>
      <w:r w:rsidR="00946319">
        <w:t xml:space="preserve">petrochemicals, </w:t>
      </w:r>
      <w:r w:rsidR="00146FC9" w:rsidRPr="00A727FB">
        <w:t>chemicals</w:t>
      </w:r>
      <w:r w:rsidR="00946319">
        <w:t xml:space="preserve"> and plastics</w:t>
      </w:r>
      <w:r w:rsidR="00E93D36">
        <w:t xml:space="preserve">. </w:t>
      </w:r>
      <w:r w:rsidR="00653FA9">
        <w:t xml:space="preserve">This reflects reduced activity in the sector, with </w:t>
      </w:r>
      <w:r w:rsidR="00291469">
        <w:t>an</w:t>
      </w:r>
      <w:r w:rsidR="00653FA9">
        <w:t xml:space="preserve"> increase in industrial gas prices also potentially affecting gas consumption</w:t>
      </w:r>
      <w:r w:rsidR="00A35F73" w:rsidRPr="00A727FB">
        <w:t>.</w:t>
      </w:r>
      <w:r w:rsidR="005E0175" w:rsidRPr="00A727FB">
        <w:t xml:space="preserve"> </w:t>
      </w:r>
    </w:p>
    <w:p w14:paraId="57BE6945" w14:textId="481CA1F2" w:rsidR="00120EF1" w:rsidRDefault="00653FA9" w:rsidP="00FE7DAB">
      <w:pPr>
        <w:pStyle w:val="BodyText"/>
      </w:pPr>
      <w:r>
        <w:t xml:space="preserve">Around 37 per cent of Australia’s gas consumption in 2016–17 was for electricity generation. </w:t>
      </w:r>
      <w:r w:rsidR="00120EF1">
        <w:t>Of the gas used for electricity generation in Australia, about one-third is used for generation by industry. This includes</w:t>
      </w:r>
      <w:r w:rsidR="00AA68CF">
        <w:t xml:space="preserve"> electricity </w:t>
      </w:r>
      <w:r w:rsidR="00120EF1">
        <w:t>generation at smelters, refineries and mine sites. It also includes some unprocessed natural gas used to generat</w:t>
      </w:r>
      <w:r>
        <w:t>e</w:t>
      </w:r>
      <w:r w:rsidR="00120EF1">
        <w:t xml:space="preserve"> electricity during the gas production process. This consumption is included in the electricity generation sector in </w:t>
      </w:r>
      <w:r w:rsidR="00A1793A">
        <w:t xml:space="preserve">the AES, which allocates </w:t>
      </w:r>
      <w:r w:rsidR="00AA68CF">
        <w:t xml:space="preserve">gas </w:t>
      </w:r>
      <w:r w:rsidR="00A1793A">
        <w:t>consumption to the activity of generating electricity, rather than to the original industry such as mining.</w:t>
      </w:r>
    </w:p>
    <w:p w14:paraId="5E67EC01" w14:textId="355A112F" w:rsidR="00974E56" w:rsidRDefault="00974E56" w:rsidP="00974E56">
      <w:pPr>
        <w:pStyle w:val="Caption"/>
        <w:ind w:left="-1985"/>
      </w:pPr>
      <w:bookmarkStart w:id="62" w:name="_Toc523777418"/>
      <w:r>
        <w:lastRenderedPageBreak/>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rsidR="003348D2">
        <w:t>.</w:t>
      </w:r>
      <w:r w:rsidR="00941B67">
        <w:rPr>
          <w:noProof/>
        </w:rPr>
        <w:fldChar w:fldCharType="begin"/>
      </w:r>
      <w:r w:rsidR="00941B67">
        <w:rPr>
          <w:noProof/>
        </w:rPr>
        <w:instrText xml:space="preserve"> SEQ Figure \* ARABIC \s 1 </w:instrText>
      </w:r>
      <w:r w:rsidR="00941B67">
        <w:rPr>
          <w:noProof/>
        </w:rPr>
        <w:fldChar w:fldCharType="separate"/>
      </w:r>
      <w:r w:rsidR="00D72ABB">
        <w:rPr>
          <w:noProof/>
        </w:rPr>
        <w:t>3</w:t>
      </w:r>
      <w:r w:rsidR="00941B67">
        <w:rPr>
          <w:noProof/>
        </w:rPr>
        <w:fldChar w:fldCharType="end"/>
      </w:r>
      <w:r>
        <w:t xml:space="preserve">: </w:t>
      </w:r>
      <w:r w:rsidR="00291469">
        <w:t>Australian n</w:t>
      </w:r>
      <w:r w:rsidRPr="001F1F3C">
        <w:t xml:space="preserve">atural gas flows, </w:t>
      </w:r>
      <w:r w:rsidR="00291469">
        <w:t>petajoules,</w:t>
      </w:r>
      <w:r w:rsidRPr="001F1F3C">
        <w:t xml:space="preserve"> 2016–17</w:t>
      </w:r>
      <w:bookmarkEnd w:id="62"/>
    </w:p>
    <w:tbl>
      <w:tblPr>
        <w:tblStyle w:val="OCETable"/>
        <w:tblW w:w="6530" w:type="pct"/>
        <w:tblInd w:w="-1985" w:type="dxa"/>
        <w:tblLayout w:type="fixed"/>
        <w:tblLook w:val="04A0" w:firstRow="1" w:lastRow="0" w:firstColumn="1" w:lastColumn="0" w:noHBand="0" w:noVBand="1"/>
        <w:tblCaption w:val="Placeholder obejct only"/>
      </w:tblPr>
      <w:tblGrid>
        <w:gridCol w:w="9004"/>
      </w:tblGrid>
      <w:tr w:rsidR="00974E56" w:rsidRPr="001F1F3C" w14:paraId="4D060181" w14:textId="77777777" w:rsidTr="00653FA9">
        <w:trPr>
          <w:cnfStyle w:val="100000000000" w:firstRow="1" w:lastRow="0" w:firstColumn="0" w:lastColumn="0" w:oddVBand="0" w:evenVBand="0" w:oddHBand="0" w:evenHBand="0" w:firstRowFirstColumn="0" w:firstRowLastColumn="0" w:lastRowFirstColumn="0" w:lastRowLastColumn="0"/>
          <w:trHeight w:val="4932"/>
          <w:tblHeader/>
        </w:trPr>
        <w:tc>
          <w:tcPr>
            <w:tcW w:w="9004" w:type="dxa"/>
            <w:shd w:val="clear" w:color="auto" w:fill="auto"/>
          </w:tcPr>
          <w:p w14:paraId="53D5D2D4" w14:textId="305FE217" w:rsidR="00974E56" w:rsidRPr="001F1F3C" w:rsidRDefault="00291469" w:rsidP="00974E56">
            <w:pPr>
              <w:pStyle w:val="PlaceholderWide"/>
              <w:jc w:val="right"/>
            </w:pPr>
            <w:r>
              <w:rPr>
                <w:noProof/>
                <w:lang w:eastAsia="en-AU"/>
              </w:rPr>
              <w:drawing>
                <wp:inline distT="0" distB="0" distL="0" distR="0" wp14:anchorId="69715B54" wp14:editId="0704229C">
                  <wp:extent cx="5395733" cy="3007620"/>
                  <wp:effectExtent l="0" t="0" r="0" b="2540"/>
                  <wp:docPr id="12" name="Picture 12" descr="The figure shows Australian natural gas production, imports, exports and domestic consumption in petajoules in 2016-17, represented as a Sankey flow diagram" title="Figure 2.3: Australian natural gas flows, petajoules, 20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Nat Gas Flows 2016-17 - 31Jul18 - Aus v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395733" cy="3007620"/>
                          </a:xfrm>
                          <a:prstGeom prst="rect">
                            <a:avLst/>
                          </a:prstGeom>
                        </pic:spPr>
                      </pic:pic>
                    </a:graphicData>
                  </a:graphic>
                </wp:inline>
              </w:drawing>
            </w:r>
          </w:p>
        </w:tc>
      </w:tr>
    </w:tbl>
    <w:p w14:paraId="674525D9" w14:textId="7A6E45C0" w:rsidR="00974E56" w:rsidRPr="001F1F3C" w:rsidRDefault="00AA68CF" w:rsidP="00AA68CF">
      <w:pPr>
        <w:pStyle w:val="SourceWide"/>
        <w:spacing w:after="480"/>
        <w:jc w:val="left"/>
        <w:rPr>
          <w:color w:val="595A5B" w:themeColor="text1"/>
          <w:szCs w:val="16"/>
        </w:rPr>
      </w:pPr>
      <w:r>
        <w:rPr>
          <w:color w:val="595A5B" w:themeColor="text1"/>
          <w:szCs w:val="16"/>
        </w:rPr>
        <w:t>Note: Gas used at LNG plants for liquefaction and electricity generation is included in total gas consumption in the AES, but has been disaggregated in this figure.</w:t>
      </w:r>
      <w:r>
        <w:rPr>
          <w:color w:val="595A5B" w:themeColor="text1"/>
          <w:szCs w:val="16"/>
        </w:rPr>
        <w:br/>
      </w:r>
      <w:r w:rsidR="00974E56" w:rsidRPr="001F1F3C">
        <w:rPr>
          <w:color w:val="595A5B" w:themeColor="text1"/>
          <w:szCs w:val="16"/>
        </w:rPr>
        <w:t xml:space="preserve">Source: Department of the Environment and Energy (2018) </w:t>
      </w:r>
      <w:r w:rsidR="00974E56" w:rsidRPr="001F1F3C">
        <w:rPr>
          <w:i/>
          <w:color w:val="595A5B" w:themeColor="text1"/>
          <w:szCs w:val="16"/>
        </w:rPr>
        <w:t>Australian Energy Statistics</w:t>
      </w:r>
      <w:r w:rsidR="00974E56" w:rsidRPr="001F1F3C">
        <w:rPr>
          <w:color w:val="595A5B" w:themeColor="text1"/>
          <w:szCs w:val="16"/>
        </w:rPr>
        <w:t>, Tables A and F</w:t>
      </w:r>
      <w:r w:rsidR="00C36073">
        <w:rPr>
          <w:color w:val="595A5B" w:themeColor="text1"/>
          <w:szCs w:val="16"/>
        </w:rPr>
        <w:t xml:space="preserve"> and internal sources</w:t>
      </w:r>
    </w:p>
    <w:p w14:paraId="3D7DDE4E" w14:textId="018D2BAA" w:rsidR="00CA6A05" w:rsidRPr="001F1F3C" w:rsidRDefault="00283EC0" w:rsidP="00283EC0">
      <w:pPr>
        <w:pStyle w:val="BodyText"/>
      </w:pPr>
      <w:r w:rsidRPr="001F1F3C">
        <w:t xml:space="preserve">Renewable energy sources accounted for the remaining 6 per cent of </w:t>
      </w:r>
      <w:r w:rsidR="00580B89" w:rsidRPr="001F1F3C">
        <w:t xml:space="preserve">Australian </w:t>
      </w:r>
      <w:r w:rsidRPr="001F1F3C">
        <w:t xml:space="preserve">energy consumption in </w:t>
      </w:r>
      <w:r w:rsidR="003F2CCE" w:rsidRPr="001F1F3C">
        <w:t>2016–17</w:t>
      </w:r>
      <w:r w:rsidRPr="001F1F3C">
        <w:t>, comprising mainly biomass, hydro and wind energy.</w:t>
      </w:r>
      <w:r w:rsidR="00580B89" w:rsidRPr="001F1F3C">
        <w:t xml:space="preserve"> This includes renewable energy use for electricity generation, as well as direct use of renewables such as firewood for residential heating</w:t>
      </w:r>
      <w:r w:rsidR="0047213B" w:rsidRPr="001F1F3C">
        <w:t>, bagasse use in manufacturing</w:t>
      </w:r>
      <w:r w:rsidR="00580B89" w:rsidRPr="001F1F3C">
        <w:t xml:space="preserve"> and solar hot water.</w:t>
      </w:r>
      <w:r w:rsidRPr="001F1F3C">
        <w:t xml:space="preserve"> </w:t>
      </w:r>
    </w:p>
    <w:p w14:paraId="5EDB6590" w14:textId="7A4EE349" w:rsidR="00E06224" w:rsidRDefault="00283EC0" w:rsidP="00283EC0">
      <w:pPr>
        <w:pStyle w:val="BodyText"/>
      </w:pPr>
      <w:r w:rsidRPr="001F1F3C">
        <w:t xml:space="preserve">In </w:t>
      </w:r>
      <w:r w:rsidR="003F2CCE" w:rsidRPr="001F1F3C">
        <w:t>2016–17</w:t>
      </w:r>
      <w:r w:rsidR="00942385" w:rsidRPr="001F1F3C">
        <w:t>,</w:t>
      </w:r>
      <w:r w:rsidRPr="001F1F3C">
        <w:t xml:space="preserve"> renewable energy consumption rose by </w:t>
      </w:r>
      <w:r w:rsidR="00450EB7">
        <w:t>5</w:t>
      </w:r>
      <w:r w:rsidR="00450EB7" w:rsidRPr="00A727FB">
        <w:t> </w:t>
      </w:r>
      <w:r w:rsidRPr="00A727FB">
        <w:t xml:space="preserve">per cent, </w:t>
      </w:r>
      <w:r w:rsidR="00C36073">
        <w:t xml:space="preserve">mainly </w:t>
      </w:r>
      <w:r w:rsidR="00580B89" w:rsidRPr="00A727FB">
        <w:t>underpinned by</w:t>
      </w:r>
      <w:r w:rsidRPr="00A727FB">
        <w:t xml:space="preserve"> growt</w:t>
      </w:r>
      <w:r w:rsidRPr="001F1F3C">
        <w:t xml:space="preserve">h </w:t>
      </w:r>
      <w:r w:rsidR="00F533C0">
        <w:t>in bagasse, solar and hydro energy</w:t>
      </w:r>
      <w:r w:rsidR="00E06224">
        <w:t xml:space="preserve"> </w:t>
      </w:r>
      <w:r w:rsidRPr="001F1F3C">
        <w:t>(Table </w:t>
      </w:r>
      <w:r w:rsidR="00823AE6">
        <w:t>2</w:t>
      </w:r>
      <w:r w:rsidRPr="001F1F3C">
        <w:t>.2).</w:t>
      </w:r>
      <w:r w:rsidR="00E06224">
        <w:t xml:space="preserve"> Consumption of bagasse, the remnant sugar cane pulp left after crushing, rose to </w:t>
      </w:r>
      <w:r w:rsidR="00C16FDD">
        <w:t xml:space="preserve">29 per cent of total renewable energy use </w:t>
      </w:r>
      <w:r w:rsidR="00E06224">
        <w:t>in 2016</w:t>
      </w:r>
      <w:r w:rsidR="00C16FDD">
        <w:t xml:space="preserve">–17, reflecting </w:t>
      </w:r>
      <w:r w:rsidR="00E06224">
        <w:t>increas</w:t>
      </w:r>
      <w:r w:rsidR="00C16FDD">
        <w:t>ed</w:t>
      </w:r>
      <w:r w:rsidR="00E06224">
        <w:t xml:space="preserve"> tonnage </w:t>
      </w:r>
      <w:r w:rsidR="00C16FDD">
        <w:t>in</w:t>
      </w:r>
      <w:r w:rsidR="00E06224">
        <w:t xml:space="preserve"> sugar </w:t>
      </w:r>
      <w:r w:rsidR="00E644A0">
        <w:t>cane production</w:t>
      </w:r>
      <w:r w:rsidR="00E06224">
        <w:t>.</w:t>
      </w:r>
    </w:p>
    <w:p w14:paraId="51B56158" w14:textId="3758E389" w:rsidR="00342AED" w:rsidRDefault="00B757C6" w:rsidP="00283EC0">
      <w:pPr>
        <w:pStyle w:val="BodyText"/>
      </w:pPr>
      <w:r>
        <w:t>Use of h</w:t>
      </w:r>
      <w:r w:rsidR="00146FC9" w:rsidRPr="001F1F3C">
        <w:t xml:space="preserve">ydro rose by </w:t>
      </w:r>
      <w:r w:rsidR="00A727FB">
        <w:t xml:space="preserve">6 </w:t>
      </w:r>
      <w:r w:rsidR="00146FC9" w:rsidRPr="00A727FB">
        <w:t>per cent</w:t>
      </w:r>
      <w:r w:rsidR="00A727FB">
        <w:t xml:space="preserve"> and wind by 3 per cent</w:t>
      </w:r>
      <w:r w:rsidR="000953A6">
        <w:t xml:space="preserve"> in </w:t>
      </w:r>
      <w:r w:rsidR="00342AED">
        <w:t>2016</w:t>
      </w:r>
      <w:r w:rsidR="00C16FDD">
        <w:t>–</w:t>
      </w:r>
      <w:r w:rsidR="00342AED">
        <w:t>17</w:t>
      </w:r>
      <w:r w:rsidR="00A727FB">
        <w:t>.</w:t>
      </w:r>
      <w:r w:rsidR="000953A6">
        <w:t xml:space="preserve"> </w:t>
      </w:r>
      <w:r w:rsidR="00342AED">
        <w:t>H</w:t>
      </w:r>
      <w:r w:rsidR="000953A6">
        <w:t xml:space="preserve">ydro energy </w:t>
      </w:r>
      <w:r w:rsidR="00342AED">
        <w:t xml:space="preserve">has been a feature of Australia’s </w:t>
      </w:r>
      <w:r w:rsidR="000953A6">
        <w:t xml:space="preserve">electricity mix </w:t>
      </w:r>
      <w:r w:rsidR="00342AED">
        <w:t>for decades</w:t>
      </w:r>
      <w:r w:rsidR="000953A6">
        <w:t xml:space="preserve">, </w:t>
      </w:r>
      <w:r w:rsidR="00342AED">
        <w:t xml:space="preserve">and </w:t>
      </w:r>
      <w:r w:rsidR="000953A6">
        <w:t xml:space="preserve">production </w:t>
      </w:r>
      <w:r w:rsidR="00342AED">
        <w:t>fluctuate</w:t>
      </w:r>
      <w:r w:rsidR="00C16FDD">
        <w:t>s</w:t>
      </w:r>
      <w:r w:rsidR="00342AED">
        <w:t xml:space="preserve"> from year to year </w:t>
      </w:r>
      <w:r w:rsidR="003A0C78">
        <w:t>according</w:t>
      </w:r>
      <w:r w:rsidR="000953A6">
        <w:t xml:space="preserve"> to market and weather conditions.</w:t>
      </w:r>
    </w:p>
    <w:p w14:paraId="20C6228A" w14:textId="681DD75F" w:rsidR="00283EC0" w:rsidRDefault="000953A6" w:rsidP="00283EC0">
      <w:pPr>
        <w:pStyle w:val="BodyText"/>
      </w:pPr>
      <w:r>
        <w:t xml:space="preserve">Wind </w:t>
      </w:r>
      <w:r w:rsidR="00342AED">
        <w:t>and solar energy</w:t>
      </w:r>
      <w:r>
        <w:t xml:space="preserve"> </w:t>
      </w:r>
      <w:r w:rsidR="00342AED">
        <w:t xml:space="preserve">have exhibited rapid growth in the </w:t>
      </w:r>
      <w:r w:rsidR="00C36073">
        <w:t>p</w:t>
      </w:r>
      <w:r w:rsidR="00342AED">
        <w:t xml:space="preserve">ast decade. Wind power </w:t>
      </w:r>
      <w:r>
        <w:t>has increased an average of 17 per cent per year since 2007</w:t>
      </w:r>
      <w:r w:rsidR="00C16FDD">
        <w:t>–</w:t>
      </w:r>
      <w:r>
        <w:t>08 to 45 petajoules</w:t>
      </w:r>
      <w:r w:rsidR="00C36073">
        <w:t xml:space="preserve"> in 2016–17</w:t>
      </w:r>
      <w:r>
        <w:t>.</w:t>
      </w:r>
      <w:r w:rsidR="00342AED">
        <w:t xml:space="preserve"> </w:t>
      </w:r>
      <w:r w:rsidR="00C16FDD">
        <w:t xml:space="preserve">Solar </w:t>
      </w:r>
      <w:r w:rsidR="00C36073">
        <w:t>PV has grown from less than 0.5 </w:t>
      </w:r>
      <w:r w:rsidR="00C16FDD">
        <w:t xml:space="preserve">petajoules a decade ago to 29 petajoules in 2016–17, including growth of </w:t>
      </w:r>
      <w:r w:rsidR="00450EB7">
        <w:t xml:space="preserve">18 </w:t>
      </w:r>
      <w:r>
        <w:t>per cent</w:t>
      </w:r>
      <w:r w:rsidR="00450EB7">
        <w:t xml:space="preserve"> </w:t>
      </w:r>
      <w:r w:rsidR="00C16FDD">
        <w:t>last year</w:t>
      </w:r>
      <w:r w:rsidR="00450EB7">
        <w:t xml:space="preserve">. </w:t>
      </w:r>
    </w:p>
    <w:p w14:paraId="4AC2EF54" w14:textId="5EC0C321" w:rsidR="000953A6" w:rsidRDefault="000953A6" w:rsidP="00283EC0">
      <w:pPr>
        <w:pStyle w:val="BodyText"/>
      </w:pPr>
      <w:r>
        <w:t xml:space="preserve">Municipal and industrial waste can be used </w:t>
      </w:r>
      <w:r w:rsidR="00D6514B">
        <w:t>to generate</w:t>
      </w:r>
      <w:r>
        <w:t xml:space="preserve"> electricity</w:t>
      </w:r>
      <w:r w:rsidR="00D6514B">
        <w:t>, and provided</w:t>
      </w:r>
      <w:r>
        <w:t xml:space="preserve"> nearly 3 petajoules </w:t>
      </w:r>
      <w:r w:rsidR="00D6514B">
        <w:t xml:space="preserve">of energy </w:t>
      </w:r>
      <w:r>
        <w:t>in 2016</w:t>
      </w:r>
      <w:r w:rsidR="00D6514B">
        <w:t>–</w:t>
      </w:r>
      <w:r>
        <w:t xml:space="preserve">17, up from 0.4 petajoules </w:t>
      </w:r>
      <w:r w:rsidR="00D6514B">
        <w:t>five years ago</w:t>
      </w:r>
      <w:r>
        <w:t>.</w:t>
      </w:r>
      <w:r w:rsidR="00D6514B">
        <w:t xml:space="preserve"> Landfill biogas provided a further</w:t>
      </w:r>
      <w:r w:rsidR="001C5AF7">
        <w:t xml:space="preserve"> 12 </w:t>
      </w:r>
      <w:r w:rsidR="00D6514B">
        <w:t>petajoules of energy in 2016–17</w:t>
      </w:r>
      <w:r w:rsidR="00632B3C">
        <w:t>.</w:t>
      </w:r>
    </w:p>
    <w:p w14:paraId="05F0B2F5" w14:textId="331D8894" w:rsidR="00F70F3E" w:rsidRDefault="00F70F3E">
      <w:pPr>
        <w:spacing w:after="200" w:line="276" w:lineRule="auto"/>
        <w:ind w:left="0"/>
        <w:jc w:val="left"/>
        <w:rPr>
          <w:rFonts w:asciiTheme="minorHAnsi" w:hAnsiTheme="minorHAnsi"/>
        </w:rPr>
      </w:pPr>
    </w:p>
    <w:p w14:paraId="61607395" w14:textId="71EE7401" w:rsidR="001F4600" w:rsidRPr="001F1F3C" w:rsidRDefault="000678FE" w:rsidP="00082FE6">
      <w:pPr>
        <w:pStyle w:val="Caption"/>
      </w:pPr>
      <w:bookmarkStart w:id="63" w:name="_Toc461142057"/>
      <w:bookmarkStart w:id="64" w:name="_Toc522199771"/>
      <w:bookmarkStart w:id="65" w:name="_Toc522635714"/>
      <w:bookmarkStart w:id="66" w:name="_Toc427614425"/>
      <w:bookmarkStart w:id="67" w:name="_Toc427790830"/>
      <w:r>
        <w:lastRenderedPageBreak/>
        <w:t xml:space="preserve">Table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rsidR="00C1400E">
        <w:t>.</w:t>
      </w:r>
      <w:r w:rsidR="00941B67">
        <w:rPr>
          <w:noProof/>
        </w:rPr>
        <w:fldChar w:fldCharType="begin"/>
      </w:r>
      <w:r w:rsidR="00941B67">
        <w:rPr>
          <w:noProof/>
        </w:rPr>
        <w:instrText xml:space="preserve"> SEQ Table \* ARABIC \s 1 </w:instrText>
      </w:r>
      <w:r w:rsidR="00941B67">
        <w:rPr>
          <w:noProof/>
        </w:rPr>
        <w:fldChar w:fldCharType="separate"/>
      </w:r>
      <w:r w:rsidR="00D72ABB">
        <w:rPr>
          <w:noProof/>
        </w:rPr>
        <w:t>2</w:t>
      </w:r>
      <w:r w:rsidR="00941B67">
        <w:rPr>
          <w:noProof/>
        </w:rPr>
        <w:fldChar w:fldCharType="end"/>
      </w:r>
      <w:r>
        <w:t>: Australian renewable energy consumption</w:t>
      </w:r>
      <w:r w:rsidR="001F4600" w:rsidRPr="001F1F3C">
        <w:t>, by fuel type</w:t>
      </w:r>
      <w:bookmarkEnd w:id="63"/>
      <w:bookmarkEnd w:id="64"/>
      <w:bookmarkEnd w:id="65"/>
    </w:p>
    <w:tbl>
      <w:tblPr>
        <w:tblW w:w="6946" w:type="dxa"/>
        <w:tblLook w:val="04A0" w:firstRow="1" w:lastRow="0" w:firstColumn="1" w:lastColumn="0" w:noHBand="0" w:noVBand="1"/>
      </w:tblPr>
      <w:tblGrid>
        <w:gridCol w:w="3119"/>
        <w:gridCol w:w="709"/>
        <w:gridCol w:w="992"/>
        <w:gridCol w:w="1134"/>
        <w:gridCol w:w="992"/>
      </w:tblGrid>
      <w:tr w:rsidR="00FB0286" w:rsidRPr="001F1F3C" w14:paraId="1FEE2A2D" w14:textId="77777777" w:rsidTr="00153764">
        <w:trPr>
          <w:trHeight w:val="285"/>
        </w:trPr>
        <w:tc>
          <w:tcPr>
            <w:tcW w:w="3119" w:type="dxa"/>
            <w:tcBorders>
              <w:top w:val="nil"/>
              <w:left w:val="nil"/>
              <w:bottom w:val="nil"/>
              <w:right w:val="nil"/>
            </w:tcBorders>
            <w:shd w:val="clear" w:color="000000" w:fill="22789A"/>
            <w:noWrap/>
            <w:vAlign w:val="bottom"/>
            <w:hideMark/>
          </w:tcPr>
          <w:p w14:paraId="4C3F00BB" w14:textId="77777777" w:rsidR="00FB0286" w:rsidRPr="001F1F3C" w:rsidRDefault="00FB0286" w:rsidP="00F65F2C">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1701" w:type="dxa"/>
            <w:gridSpan w:val="2"/>
            <w:tcBorders>
              <w:top w:val="nil"/>
              <w:left w:val="nil"/>
              <w:bottom w:val="nil"/>
              <w:right w:val="nil"/>
            </w:tcBorders>
            <w:shd w:val="clear" w:color="000000" w:fill="22789A"/>
            <w:noWrap/>
            <w:vAlign w:val="center"/>
            <w:hideMark/>
          </w:tcPr>
          <w:p w14:paraId="280BEB77" w14:textId="354C1577" w:rsidR="00FB0286" w:rsidRPr="001F1F3C" w:rsidRDefault="003E7D88" w:rsidP="00F65F2C">
            <w:pPr>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2016–17</w:t>
            </w:r>
          </w:p>
        </w:tc>
        <w:tc>
          <w:tcPr>
            <w:tcW w:w="2126" w:type="dxa"/>
            <w:gridSpan w:val="2"/>
            <w:tcBorders>
              <w:top w:val="nil"/>
              <w:left w:val="nil"/>
              <w:bottom w:val="nil"/>
              <w:right w:val="nil"/>
            </w:tcBorders>
            <w:shd w:val="clear" w:color="000000" w:fill="22789A"/>
            <w:noWrap/>
            <w:vAlign w:val="center"/>
            <w:hideMark/>
          </w:tcPr>
          <w:p w14:paraId="10FEF448" w14:textId="77777777" w:rsidR="00FB0286" w:rsidRPr="001F1F3C" w:rsidRDefault="00FB0286" w:rsidP="00F65F2C">
            <w:pPr>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Average annual growth</w:t>
            </w:r>
          </w:p>
        </w:tc>
      </w:tr>
      <w:tr w:rsidR="00FB0286" w:rsidRPr="004E7952" w14:paraId="24D4EEEE" w14:textId="77777777" w:rsidTr="00153764">
        <w:trPr>
          <w:trHeight w:val="240"/>
        </w:trPr>
        <w:tc>
          <w:tcPr>
            <w:tcW w:w="3119" w:type="dxa"/>
            <w:vMerge w:val="restart"/>
            <w:tcBorders>
              <w:top w:val="nil"/>
              <w:left w:val="nil"/>
              <w:bottom w:val="nil"/>
              <w:right w:val="nil"/>
            </w:tcBorders>
            <w:shd w:val="clear" w:color="000000" w:fill="CAE7F3"/>
            <w:noWrap/>
            <w:vAlign w:val="bottom"/>
            <w:hideMark/>
          </w:tcPr>
          <w:p w14:paraId="0ED4C6C9" w14:textId="77777777" w:rsidR="00FB0286" w:rsidRPr="00CB4EBE" w:rsidRDefault="00FB0286" w:rsidP="00F65F2C">
            <w:pPr>
              <w:spacing w:after="0" w:line="360" w:lineRule="auto"/>
              <w:ind w:left="0"/>
              <w:jc w:val="left"/>
              <w:rPr>
                <w:rFonts w:eastAsia="Times New Roman" w:cs="Arial"/>
                <w:color w:val="000000"/>
                <w:sz w:val="18"/>
                <w:szCs w:val="18"/>
                <w:lang w:eastAsia="en-AU"/>
              </w:rPr>
            </w:pPr>
            <w:r w:rsidRPr="00CB4EBE">
              <w:rPr>
                <w:rFonts w:eastAsia="Times New Roman" w:cs="Arial"/>
                <w:color w:val="000000"/>
                <w:sz w:val="18"/>
                <w:szCs w:val="18"/>
                <w:lang w:eastAsia="en-AU"/>
              </w:rPr>
              <w:t> </w:t>
            </w:r>
          </w:p>
        </w:tc>
        <w:tc>
          <w:tcPr>
            <w:tcW w:w="709" w:type="dxa"/>
            <w:vMerge w:val="restart"/>
            <w:tcBorders>
              <w:top w:val="nil"/>
              <w:left w:val="nil"/>
              <w:bottom w:val="nil"/>
              <w:right w:val="nil"/>
            </w:tcBorders>
            <w:shd w:val="clear" w:color="000000" w:fill="CAE7F3"/>
            <w:noWrap/>
            <w:vAlign w:val="center"/>
            <w:hideMark/>
          </w:tcPr>
          <w:p w14:paraId="13DAB69C" w14:textId="77777777" w:rsidR="00FB0286" w:rsidRPr="004E7952" w:rsidRDefault="00FB0286" w:rsidP="00F65F2C">
            <w:pPr>
              <w:spacing w:after="0" w:line="360" w:lineRule="auto"/>
              <w:ind w:left="0"/>
              <w:jc w:val="right"/>
              <w:rPr>
                <w:rFonts w:eastAsia="Times New Roman" w:cs="Arial"/>
                <w:sz w:val="18"/>
                <w:szCs w:val="18"/>
                <w:lang w:eastAsia="en-AU"/>
              </w:rPr>
            </w:pPr>
            <w:r w:rsidRPr="004E7952">
              <w:rPr>
                <w:rFonts w:eastAsia="Times New Roman" w:cs="Arial"/>
                <w:color w:val="595A5B" w:themeColor="accent5"/>
                <w:sz w:val="18"/>
                <w:szCs w:val="18"/>
                <w:lang w:eastAsia="en-AU"/>
              </w:rPr>
              <w:t>PJ</w:t>
            </w:r>
          </w:p>
        </w:tc>
        <w:tc>
          <w:tcPr>
            <w:tcW w:w="992" w:type="dxa"/>
            <w:tcBorders>
              <w:top w:val="nil"/>
              <w:left w:val="nil"/>
              <w:bottom w:val="nil"/>
              <w:right w:val="nil"/>
            </w:tcBorders>
            <w:shd w:val="clear" w:color="000000" w:fill="CAE7F3"/>
            <w:noWrap/>
            <w:vAlign w:val="center"/>
            <w:hideMark/>
          </w:tcPr>
          <w:p w14:paraId="489C2AE1" w14:textId="77777777" w:rsidR="00FB0286" w:rsidRPr="004E7952" w:rsidRDefault="00FB0286" w:rsidP="00F65F2C">
            <w:pPr>
              <w:spacing w:after="0" w:line="360" w:lineRule="auto"/>
              <w:ind w:left="0"/>
              <w:jc w:val="right"/>
              <w:rPr>
                <w:rFonts w:eastAsia="Times New Roman" w:cs="Arial"/>
                <w:sz w:val="18"/>
                <w:szCs w:val="18"/>
                <w:lang w:eastAsia="en-AU"/>
              </w:rPr>
            </w:pPr>
            <w:r w:rsidRPr="004E7952">
              <w:rPr>
                <w:rFonts w:eastAsia="Times New Roman" w:cs="Arial"/>
                <w:color w:val="595A5B" w:themeColor="accent5"/>
                <w:sz w:val="18"/>
                <w:szCs w:val="18"/>
                <w:lang w:eastAsia="en-AU"/>
              </w:rPr>
              <w:t>share</w:t>
            </w:r>
          </w:p>
        </w:tc>
        <w:tc>
          <w:tcPr>
            <w:tcW w:w="1134" w:type="dxa"/>
            <w:tcBorders>
              <w:top w:val="nil"/>
              <w:left w:val="nil"/>
              <w:bottom w:val="nil"/>
              <w:right w:val="nil"/>
            </w:tcBorders>
            <w:shd w:val="clear" w:color="000000" w:fill="CAE7F3"/>
            <w:noWrap/>
            <w:vAlign w:val="center"/>
            <w:hideMark/>
          </w:tcPr>
          <w:p w14:paraId="0929DB52" w14:textId="11486CF5" w:rsidR="00FB0286" w:rsidRPr="004E7952" w:rsidRDefault="00FB0286" w:rsidP="00F65F2C">
            <w:pPr>
              <w:spacing w:after="0" w:line="360" w:lineRule="auto"/>
              <w:ind w:left="0"/>
              <w:jc w:val="right"/>
              <w:rPr>
                <w:rFonts w:eastAsia="Times New Roman" w:cs="Arial"/>
                <w:sz w:val="18"/>
                <w:szCs w:val="18"/>
                <w:lang w:eastAsia="en-AU"/>
              </w:rPr>
            </w:pPr>
            <w:r w:rsidRPr="004E7952">
              <w:rPr>
                <w:rFonts w:eastAsia="Times New Roman" w:cs="Arial"/>
                <w:color w:val="595A5B" w:themeColor="accent5"/>
                <w:sz w:val="18"/>
                <w:szCs w:val="18"/>
                <w:lang w:eastAsia="en-AU"/>
              </w:rPr>
              <w:t>2016–17</w:t>
            </w:r>
          </w:p>
        </w:tc>
        <w:tc>
          <w:tcPr>
            <w:tcW w:w="992" w:type="dxa"/>
            <w:tcBorders>
              <w:top w:val="nil"/>
              <w:left w:val="nil"/>
              <w:bottom w:val="nil"/>
              <w:right w:val="nil"/>
            </w:tcBorders>
            <w:shd w:val="clear" w:color="000000" w:fill="CAE7F3"/>
            <w:noWrap/>
            <w:vAlign w:val="center"/>
            <w:hideMark/>
          </w:tcPr>
          <w:p w14:paraId="25CF82AD" w14:textId="77777777" w:rsidR="00FB0286" w:rsidRPr="004E7952" w:rsidRDefault="00FB0286" w:rsidP="00F65F2C">
            <w:pPr>
              <w:spacing w:after="0" w:line="360" w:lineRule="auto"/>
              <w:ind w:left="0"/>
              <w:jc w:val="right"/>
              <w:rPr>
                <w:rFonts w:eastAsia="Times New Roman" w:cs="Arial"/>
                <w:sz w:val="18"/>
                <w:szCs w:val="18"/>
                <w:lang w:eastAsia="en-AU"/>
              </w:rPr>
            </w:pPr>
            <w:r w:rsidRPr="004E7952">
              <w:rPr>
                <w:rFonts w:eastAsia="Times New Roman" w:cs="Arial"/>
                <w:color w:val="595A5B" w:themeColor="accent5"/>
                <w:sz w:val="18"/>
                <w:szCs w:val="18"/>
                <w:lang w:eastAsia="en-AU"/>
              </w:rPr>
              <w:t>10 years</w:t>
            </w:r>
          </w:p>
        </w:tc>
      </w:tr>
      <w:tr w:rsidR="00FB0286" w:rsidRPr="004E7952" w14:paraId="251C7512" w14:textId="77777777" w:rsidTr="00153764">
        <w:trPr>
          <w:trHeight w:val="240"/>
        </w:trPr>
        <w:tc>
          <w:tcPr>
            <w:tcW w:w="3119" w:type="dxa"/>
            <w:vMerge/>
            <w:tcBorders>
              <w:top w:val="nil"/>
              <w:left w:val="nil"/>
              <w:bottom w:val="nil"/>
              <w:right w:val="nil"/>
            </w:tcBorders>
            <w:vAlign w:val="center"/>
            <w:hideMark/>
          </w:tcPr>
          <w:p w14:paraId="17DEF043" w14:textId="77777777" w:rsidR="00FB0286" w:rsidRPr="00CB4EBE" w:rsidRDefault="00FB0286" w:rsidP="00F65F2C">
            <w:pPr>
              <w:spacing w:after="0" w:line="360" w:lineRule="auto"/>
              <w:ind w:left="0"/>
              <w:jc w:val="left"/>
              <w:rPr>
                <w:rFonts w:eastAsia="Times New Roman" w:cs="Arial"/>
                <w:color w:val="000000"/>
                <w:sz w:val="18"/>
                <w:szCs w:val="18"/>
                <w:lang w:eastAsia="en-AU"/>
              </w:rPr>
            </w:pPr>
          </w:p>
        </w:tc>
        <w:tc>
          <w:tcPr>
            <w:tcW w:w="709" w:type="dxa"/>
            <w:vMerge/>
            <w:tcBorders>
              <w:top w:val="nil"/>
              <w:left w:val="nil"/>
              <w:bottom w:val="nil"/>
              <w:right w:val="nil"/>
            </w:tcBorders>
            <w:vAlign w:val="center"/>
            <w:hideMark/>
          </w:tcPr>
          <w:p w14:paraId="5EB3FEF9" w14:textId="77777777" w:rsidR="00FB0286" w:rsidRPr="004E7952" w:rsidRDefault="00FB0286" w:rsidP="00F65F2C">
            <w:pPr>
              <w:spacing w:after="0" w:line="360" w:lineRule="auto"/>
              <w:ind w:left="0"/>
              <w:jc w:val="left"/>
              <w:rPr>
                <w:rFonts w:eastAsia="Times New Roman" w:cs="Arial"/>
                <w:sz w:val="18"/>
                <w:szCs w:val="18"/>
                <w:lang w:eastAsia="en-AU"/>
              </w:rPr>
            </w:pPr>
          </w:p>
        </w:tc>
        <w:tc>
          <w:tcPr>
            <w:tcW w:w="992" w:type="dxa"/>
            <w:tcBorders>
              <w:top w:val="nil"/>
              <w:left w:val="nil"/>
              <w:bottom w:val="nil"/>
              <w:right w:val="nil"/>
            </w:tcBorders>
            <w:shd w:val="clear" w:color="000000" w:fill="CAE7F3"/>
            <w:noWrap/>
            <w:vAlign w:val="center"/>
            <w:hideMark/>
          </w:tcPr>
          <w:p w14:paraId="3A497EFC" w14:textId="77777777" w:rsidR="00FB0286" w:rsidRPr="004E7952" w:rsidRDefault="00FB0286" w:rsidP="00F65F2C">
            <w:pPr>
              <w:spacing w:after="0" w:line="360" w:lineRule="auto"/>
              <w:ind w:left="0"/>
              <w:jc w:val="right"/>
              <w:rPr>
                <w:rFonts w:eastAsia="Times New Roman" w:cs="Arial"/>
                <w:sz w:val="18"/>
                <w:szCs w:val="18"/>
                <w:lang w:eastAsia="en-AU"/>
              </w:rPr>
            </w:pPr>
            <w:r w:rsidRPr="004E7952">
              <w:rPr>
                <w:rFonts w:eastAsia="Times New Roman" w:cs="Arial"/>
                <w:sz w:val="18"/>
                <w:szCs w:val="18"/>
                <w:lang w:eastAsia="en-AU"/>
              </w:rPr>
              <w:t>(per cent)</w:t>
            </w:r>
          </w:p>
        </w:tc>
        <w:tc>
          <w:tcPr>
            <w:tcW w:w="1134" w:type="dxa"/>
            <w:tcBorders>
              <w:top w:val="nil"/>
              <w:left w:val="nil"/>
              <w:bottom w:val="nil"/>
              <w:right w:val="nil"/>
            </w:tcBorders>
            <w:shd w:val="clear" w:color="000000" w:fill="CAE7F3"/>
            <w:noWrap/>
            <w:vAlign w:val="center"/>
            <w:hideMark/>
          </w:tcPr>
          <w:p w14:paraId="0402E71F" w14:textId="77777777" w:rsidR="00FB0286" w:rsidRPr="004E7952" w:rsidRDefault="00FB0286" w:rsidP="00F65F2C">
            <w:pPr>
              <w:spacing w:after="0" w:line="360" w:lineRule="auto"/>
              <w:ind w:left="0"/>
              <w:jc w:val="right"/>
              <w:rPr>
                <w:rFonts w:eastAsia="Times New Roman" w:cs="Arial"/>
                <w:sz w:val="18"/>
                <w:szCs w:val="18"/>
                <w:lang w:eastAsia="en-AU"/>
              </w:rPr>
            </w:pPr>
            <w:r w:rsidRPr="004E7952">
              <w:rPr>
                <w:rFonts w:eastAsia="Times New Roman" w:cs="Arial"/>
                <w:sz w:val="18"/>
                <w:szCs w:val="18"/>
                <w:lang w:eastAsia="en-AU"/>
              </w:rPr>
              <w:t>(per cent)</w:t>
            </w:r>
          </w:p>
        </w:tc>
        <w:tc>
          <w:tcPr>
            <w:tcW w:w="992" w:type="dxa"/>
            <w:tcBorders>
              <w:top w:val="nil"/>
              <w:left w:val="nil"/>
              <w:bottom w:val="nil"/>
              <w:right w:val="nil"/>
            </w:tcBorders>
            <w:shd w:val="clear" w:color="000000" w:fill="CAE7F3"/>
            <w:noWrap/>
            <w:vAlign w:val="center"/>
            <w:hideMark/>
          </w:tcPr>
          <w:p w14:paraId="7E6934D3" w14:textId="77777777" w:rsidR="00FB0286" w:rsidRPr="004E7952" w:rsidRDefault="00FB0286" w:rsidP="00F65F2C">
            <w:pPr>
              <w:spacing w:after="0" w:line="360" w:lineRule="auto"/>
              <w:ind w:left="0"/>
              <w:jc w:val="right"/>
              <w:rPr>
                <w:rFonts w:eastAsia="Times New Roman" w:cs="Arial"/>
                <w:sz w:val="18"/>
                <w:szCs w:val="18"/>
                <w:lang w:eastAsia="en-AU"/>
              </w:rPr>
            </w:pPr>
            <w:r w:rsidRPr="004E7952">
              <w:rPr>
                <w:rFonts w:eastAsia="Times New Roman" w:cs="Arial"/>
                <w:sz w:val="18"/>
                <w:szCs w:val="18"/>
                <w:lang w:eastAsia="en-AU"/>
              </w:rPr>
              <w:t>(per cent)</w:t>
            </w:r>
          </w:p>
        </w:tc>
      </w:tr>
      <w:tr w:rsidR="00865D28" w:rsidRPr="004E7952" w14:paraId="39FBD48C" w14:textId="77777777" w:rsidTr="00153764">
        <w:trPr>
          <w:trHeight w:val="255"/>
        </w:trPr>
        <w:tc>
          <w:tcPr>
            <w:tcW w:w="3119" w:type="dxa"/>
            <w:tcBorders>
              <w:top w:val="nil"/>
              <w:left w:val="nil"/>
              <w:bottom w:val="nil"/>
              <w:right w:val="nil"/>
            </w:tcBorders>
            <w:shd w:val="clear" w:color="000000" w:fill="CAE7F3"/>
            <w:noWrap/>
            <w:hideMark/>
          </w:tcPr>
          <w:p w14:paraId="4FC3F51A" w14:textId="2288AC40" w:rsidR="00865D28" w:rsidRPr="00865D28" w:rsidRDefault="00865D28" w:rsidP="00865D28">
            <w:pPr>
              <w:spacing w:after="0" w:line="360" w:lineRule="auto"/>
              <w:ind w:left="0"/>
              <w:jc w:val="left"/>
              <w:rPr>
                <w:rFonts w:eastAsia="Times New Roman" w:cs="Arial"/>
                <w:sz w:val="18"/>
                <w:szCs w:val="18"/>
                <w:lang w:eastAsia="en-AU"/>
              </w:rPr>
            </w:pPr>
            <w:r w:rsidRPr="00865D28">
              <w:rPr>
                <w:sz w:val="18"/>
                <w:szCs w:val="18"/>
              </w:rPr>
              <w:t>Biomass</w:t>
            </w:r>
          </w:p>
        </w:tc>
        <w:tc>
          <w:tcPr>
            <w:tcW w:w="709" w:type="dxa"/>
            <w:tcBorders>
              <w:top w:val="nil"/>
              <w:left w:val="nil"/>
              <w:bottom w:val="nil"/>
              <w:right w:val="nil"/>
            </w:tcBorders>
            <w:shd w:val="clear" w:color="000000" w:fill="CAE7F3"/>
            <w:noWrap/>
            <w:hideMark/>
          </w:tcPr>
          <w:p w14:paraId="2B9EBDD0" w14:textId="73957A28"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205.4</w:t>
            </w:r>
          </w:p>
        </w:tc>
        <w:tc>
          <w:tcPr>
            <w:tcW w:w="992" w:type="dxa"/>
            <w:tcBorders>
              <w:top w:val="nil"/>
              <w:left w:val="nil"/>
              <w:bottom w:val="nil"/>
              <w:right w:val="nil"/>
            </w:tcBorders>
            <w:shd w:val="clear" w:color="000000" w:fill="CAE7F3"/>
            <w:noWrap/>
            <w:hideMark/>
          </w:tcPr>
          <w:p w14:paraId="03E4A677" w14:textId="61BC8A4A"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54.2</w:t>
            </w:r>
          </w:p>
        </w:tc>
        <w:tc>
          <w:tcPr>
            <w:tcW w:w="1134" w:type="dxa"/>
            <w:tcBorders>
              <w:top w:val="nil"/>
              <w:left w:val="nil"/>
              <w:bottom w:val="nil"/>
              <w:right w:val="nil"/>
            </w:tcBorders>
            <w:shd w:val="clear" w:color="000000" w:fill="CAE7F3"/>
            <w:noWrap/>
            <w:hideMark/>
          </w:tcPr>
          <w:p w14:paraId="31D4AE56" w14:textId="685912DD"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5.0</w:t>
            </w:r>
          </w:p>
        </w:tc>
        <w:tc>
          <w:tcPr>
            <w:tcW w:w="992" w:type="dxa"/>
            <w:tcBorders>
              <w:top w:val="nil"/>
              <w:left w:val="nil"/>
              <w:bottom w:val="nil"/>
              <w:right w:val="nil"/>
            </w:tcBorders>
            <w:shd w:val="clear" w:color="000000" w:fill="CAE7F3"/>
            <w:noWrap/>
            <w:hideMark/>
          </w:tcPr>
          <w:p w14:paraId="4730E632" w14:textId="7009868A"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-0.2</w:t>
            </w:r>
          </w:p>
        </w:tc>
      </w:tr>
      <w:tr w:rsidR="00865D28" w:rsidRPr="004E7952" w14:paraId="2FCFF768" w14:textId="77777777" w:rsidTr="00153764">
        <w:trPr>
          <w:trHeight w:val="300"/>
        </w:trPr>
        <w:tc>
          <w:tcPr>
            <w:tcW w:w="3119" w:type="dxa"/>
            <w:tcBorders>
              <w:top w:val="nil"/>
              <w:left w:val="nil"/>
              <w:bottom w:val="nil"/>
              <w:right w:val="nil"/>
            </w:tcBorders>
            <w:shd w:val="clear" w:color="000000" w:fill="CAE7F3"/>
            <w:noWrap/>
            <w:hideMark/>
          </w:tcPr>
          <w:p w14:paraId="0D15C42C" w14:textId="65F2BD31" w:rsidR="00865D28" w:rsidRPr="00865D28" w:rsidRDefault="00865D28" w:rsidP="00865D28">
            <w:pPr>
              <w:spacing w:after="0" w:line="360" w:lineRule="auto"/>
              <w:ind w:left="0"/>
              <w:jc w:val="left"/>
              <w:rPr>
                <w:rFonts w:eastAsia="Times New Roman" w:cs="Arial"/>
                <w:sz w:val="18"/>
                <w:szCs w:val="18"/>
                <w:lang w:eastAsia="en-AU"/>
              </w:rPr>
            </w:pPr>
            <w:r w:rsidRPr="00865D28">
              <w:rPr>
                <w:sz w:val="18"/>
                <w:szCs w:val="18"/>
              </w:rPr>
              <w:t xml:space="preserve">   - wood, woodwaste, sulphite lyes</w:t>
            </w:r>
          </w:p>
        </w:tc>
        <w:tc>
          <w:tcPr>
            <w:tcW w:w="709" w:type="dxa"/>
            <w:tcBorders>
              <w:top w:val="nil"/>
              <w:left w:val="nil"/>
              <w:bottom w:val="nil"/>
              <w:right w:val="nil"/>
            </w:tcBorders>
            <w:shd w:val="clear" w:color="000000" w:fill="CAE7F3"/>
            <w:noWrap/>
            <w:hideMark/>
          </w:tcPr>
          <w:p w14:paraId="17138023" w14:textId="6CA3E2D1"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95.1</w:t>
            </w:r>
          </w:p>
        </w:tc>
        <w:tc>
          <w:tcPr>
            <w:tcW w:w="992" w:type="dxa"/>
            <w:tcBorders>
              <w:top w:val="nil"/>
              <w:left w:val="nil"/>
              <w:bottom w:val="nil"/>
              <w:right w:val="nil"/>
            </w:tcBorders>
            <w:shd w:val="clear" w:color="000000" w:fill="CAE7F3"/>
            <w:noWrap/>
            <w:hideMark/>
          </w:tcPr>
          <w:p w14:paraId="62278260" w14:textId="735A4849"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25.1</w:t>
            </w:r>
          </w:p>
        </w:tc>
        <w:tc>
          <w:tcPr>
            <w:tcW w:w="1134" w:type="dxa"/>
            <w:tcBorders>
              <w:top w:val="nil"/>
              <w:left w:val="nil"/>
              <w:bottom w:val="nil"/>
              <w:right w:val="nil"/>
            </w:tcBorders>
            <w:shd w:val="clear" w:color="000000" w:fill="CAE7F3"/>
            <w:noWrap/>
            <w:hideMark/>
          </w:tcPr>
          <w:p w14:paraId="3913BABB" w14:textId="715FE4B5"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1.9</w:t>
            </w:r>
          </w:p>
        </w:tc>
        <w:tc>
          <w:tcPr>
            <w:tcW w:w="992" w:type="dxa"/>
            <w:tcBorders>
              <w:top w:val="nil"/>
              <w:left w:val="nil"/>
              <w:bottom w:val="nil"/>
              <w:right w:val="nil"/>
            </w:tcBorders>
            <w:shd w:val="clear" w:color="000000" w:fill="CAE7F3"/>
            <w:noWrap/>
            <w:hideMark/>
          </w:tcPr>
          <w:p w14:paraId="44EF6A5B" w14:textId="578A0082"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-0.4</w:t>
            </w:r>
          </w:p>
        </w:tc>
      </w:tr>
      <w:tr w:rsidR="00865D28" w:rsidRPr="004E7952" w14:paraId="6C8983F6" w14:textId="77777777" w:rsidTr="00153764">
        <w:trPr>
          <w:trHeight w:val="300"/>
        </w:trPr>
        <w:tc>
          <w:tcPr>
            <w:tcW w:w="3119" w:type="dxa"/>
            <w:tcBorders>
              <w:top w:val="nil"/>
              <w:left w:val="nil"/>
              <w:bottom w:val="nil"/>
              <w:right w:val="nil"/>
            </w:tcBorders>
            <w:shd w:val="clear" w:color="000000" w:fill="CAE7F3"/>
            <w:noWrap/>
            <w:hideMark/>
          </w:tcPr>
          <w:p w14:paraId="58531C28" w14:textId="4620BD3A" w:rsidR="00865D28" w:rsidRPr="00865D28" w:rsidRDefault="00865D28" w:rsidP="00865D28">
            <w:pPr>
              <w:spacing w:after="0" w:line="360" w:lineRule="auto"/>
              <w:ind w:left="0"/>
              <w:jc w:val="left"/>
              <w:rPr>
                <w:rFonts w:eastAsia="Times New Roman" w:cs="Arial"/>
                <w:sz w:val="18"/>
                <w:szCs w:val="18"/>
                <w:lang w:eastAsia="en-AU"/>
              </w:rPr>
            </w:pPr>
            <w:r w:rsidRPr="00865D28">
              <w:rPr>
                <w:sz w:val="18"/>
                <w:szCs w:val="18"/>
              </w:rPr>
              <w:t xml:space="preserve">   - bagasse</w:t>
            </w:r>
          </w:p>
        </w:tc>
        <w:tc>
          <w:tcPr>
            <w:tcW w:w="709" w:type="dxa"/>
            <w:tcBorders>
              <w:top w:val="nil"/>
              <w:left w:val="nil"/>
              <w:bottom w:val="nil"/>
              <w:right w:val="nil"/>
            </w:tcBorders>
            <w:shd w:val="clear" w:color="000000" w:fill="CAE7F3"/>
            <w:noWrap/>
            <w:hideMark/>
          </w:tcPr>
          <w:p w14:paraId="076C2066" w14:textId="60F9D102"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110.3</w:t>
            </w:r>
          </w:p>
        </w:tc>
        <w:tc>
          <w:tcPr>
            <w:tcW w:w="992" w:type="dxa"/>
            <w:tcBorders>
              <w:top w:val="nil"/>
              <w:left w:val="nil"/>
              <w:bottom w:val="nil"/>
              <w:right w:val="nil"/>
            </w:tcBorders>
            <w:shd w:val="clear" w:color="000000" w:fill="CAE7F3"/>
            <w:noWrap/>
            <w:hideMark/>
          </w:tcPr>
          <w:p w14:paraId="5A2391D0" w14:textId="67D6B2A0"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29.1</w:t>
            </w:r>
          </w:p>
        </w:tc>
        <w:tc>
          <w:tcPr>
            <w:tcW w:w="1134" w:type="dxa"/>
            <w:tcBorders>
              <w:top w:val="nil"/>
              <w:left w:val="nil"/>
              <w:bottom w:val="nil"/>
              <w:right w:val="nil"/>
            </w:tcBorders>
            <w:shd w:val="clear" w:color="000000" w:fill="CAE7F3"/>
            <w:noWrap/>
            <w:hideMark/>
          </w:tcPr>
          <w:p w14:paraId="3E7DB54A" w14:textId="4A8C089A"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7.9</w:t>
            </w:r>
          </w:p>
        </w:tc>
        <w:tc>
          <w:tcPr>
            <w:tcW w:w="992" w:type="dxa"/>
            <w:tcBorders>
              <w:top w:val="nil"/>
              <w:left w:val="nil"/>
              <w:bottom w:val="nil"/>
              <w:right w:val="nil"/>
            </w:tcBorders>
            <w:shd w:val="clear" w:color="000000" w:fill="CAE7F3"/>
            <w:noWrap/>
            <w:hideMark/>
          </w:tcPr>
          <w:p w14:paraId="77A0BD42" w14:textId="2FFAFDC7"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-0.1</w:t>
            </w:r>
          </w:p>
        </w:tc>
      </w:tr>
      <w:tr w:rsidR="00865D28" w:rsidRPr="004E7952" w14:paraId="24A82B92" w14:textId="77777777" w:rsidTr="00153764">
        <w:trPr>
          <w:trHeight w:val="300"/>
        </w:trPr>
        <w:tc>
          <w:tcPr>
            <w:tcW w:w="3119" w:type="dxa"/>
            <w:tcBorders>
              <w:top w:val="nil"/>
              <w:left w:val="nil"/>
              <w:bottom w:val="nil"/>
              <w:right w:val="nil"/>
            </w:tcBorders>
            <w:shd w:val="clear" w:color="000000" w:fill="CAE7F3"/>
            <w:noWrap/>
          </w:tcPr>
          <w:p w14:paraId="7D92356F" w14:textId="62D206E9" w:rsidR="00865D28" w:rsidRPr="00865D28" w:rsidRDefault="00865D28" w:rsidP="00865D28">
            <w:pPr>
              <w:spacing w:after="0" w:line="360" w:lineRule="auto"/>
              <w:ind w:left="0"/>
              <w:jc w:val="left"/>
              <w:rPr>
                <w:rFonts w:eastAsia="Times New Roman" w:cs="Arial"/>
                <w:color w:val="595A5B" w:themeColor="accent5"/>
                <w:sz w:val="18"/>
                <w:szCs w:val="18"/>
                <w:lang w:eastAsia="en-AU"/>
              </w:rPr>
            </w:pPr>
            <w:r w:rsidRPr="00865D28">
              <w:rPr>
                <w:rFonts w:eastAsia="Times New Roman" w:cs="Arial"/>
                <w:color w:val="595A5B" w:themeColor="text2"/>
                <w:sz w:val="18"/>
                <w:szCs w:val="18"/>
                <w:lang w:eastAsia="en-AU"/>
              </w:rPr>
              <w:t>Municipal &amp; industrial waste</w:t>
            </w:r>
          </w:p>
        </w:tc>
        <w:tc>
          <w:tcPr>
            <w:tcW w:w="709" w:type="dxa"/>
            <w:tcBorders>
              <w:top w:val="nil"/>
              <w:left w:val="nil"/>
              <w:bottom w:val="nil"/>
              <w:right w:val="nil"/>
            </w:tcBorders>
            <w:shd w:val="clear" w:color="000000" w:fill="CAE7F3"/>
            <w:noWrap/>
          </w:tcPr>
          <w:p w14:paraId="6D18E2A0" w14:textId="07C3AFC1"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2.6</w:t>
            </w:r>
          </w:p>
        </w:tc>
        <w:tc>
          <w:tcPr>
            <w:tcW w:w="992" w:type="dxa"/>
            <w:tcBorders>
              <w:top w:val="nil"/>
              <w:left w:val="nil"/>
              <w:bottom w:val="nil"/>
              <w:right w:val="nil"/>
            </w:tcBorders>
            <w:shd w:val="clear" w:color="000000" w:fill="CAE7F3"/>
            <w:noWrap/>
          </w:tcPr>
          <w:p w14:paraId="6EBB0557" w14:textId="4B8DBBAE"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0.7</w:t>
            </w:r>
          </w:p>
        </w:tc>
        <w:tc>
          <w:tcPr>
            <w:tcW w:w="1134" w:type="dxa"/>
            <w:tcBorders>
              <w:top w:val="nil"/>
              <w:left w:val="nil"/>
              <w:bottom w:val="nil"/>
              <w:right w:val="nil"/>
            </w:tcBorders>
            <w:shd w:val="clear" w:color="000000" w:fill="CAE7F3"/>
            <w:noWrap/>
          </w:tcPr>
          <w:p w14:paraId="0C65ACA5" w14:textId="3802C40E"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0.3</w:t>
            </w:r>
          </w:p>
        </w:tc>
        <w:tc>
          <w:tcPr>
            <w:tcW w:w="992" w:type="dxa"/>
            <w:tcBorders>
              <w:top w:val="nil"/>
              <w:left w:val="nil"/>
              <w:bottom w:val="nil"/>
              <w:right w:val="nil"/>
            </w:tcBorders>
            <w:shd w:val="clear" w:color="000000" w:fill="CAE7F3"/>
            <w:noWrap/>
          </w:tcPr>
          <w:p w14:paraId="339CE273" w14:textId="647C1108"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na</w:t>
            </w:r>
          </w:p>
        </w:tc>
      </w:tr>
      <w:tr w:rsidR="00865D28" w:rsidRPr="004E7952" w14:paraId="6C7E186B" w14:textId="77777777" w:rsidTr="00153764">
        <w:trPr>
          <w:trHeight w:val="255"/>
        </w:trPr>
        <w:tc>
          <w:tcPr>
            <w:tcW w:w="3119" w:type="dxa"/>
            <w:tcBorders>
              <w:top w:val="nil"/>
              <w:left w:val="nil"/>
              <w:bottom w:val="nil"/>
              <w:right w:val="nil"/>
            </w:tcBorders>
            <w:shd w:val="clear" w:color="000000" w:fill="CAE7F3"/>
            <w:noWrap/>
            <w:hideMark/>
          </w:tcPr>
          <w:p w14:paraId="7581F85B" w14:textId="71FB5046" w:rsidR="00865D28" w:rsidRPr="00865D28" w:rsidRDefault="00865D28" w:rsidP="00865D28">
            <w:pPr>
              <w:spacing w:after="0" w:line="360" w:lineRule="auto"/>
              <w:ind w:left="0"/>
              <w:jc w:val="left"/>
              <w:rPr>
                <w:rFonts w:eastAsia="Times New Roman" w:cs="Arial"/>
                <w:sz w:val="18"/>
                <w:szCs w:val="18"/>
                <w:lang w:eastAsia="en-AU"/>
              </w:rPr>
            </w:pPr>
            <w:r w:rsidRPr="00865D28">
              <w:rPr>
                <w:sz w:val="18"/>
                <w:szCs w:val="18"/>
              </w:rPr>
              <w:t>Biogas</w:t>
            </w:r>
          </w:p>
        </w:tc>
        <w:tc>
          <w:tcPr>
            <w:tcW w:w="709" w:type="dxa"/>
            <w:tcBorders>
              <w:top w:val="nil"/>
              <w:left w:val="nil"/>
              <w:bottom w:val="nil"/>
              <w:right w:val="nil"/>
            </w:tcBorders>
            <w:shd w:val="clear" w:color="000000" w:fill="CAE7F3"/>
            <w:noWrap/>
            <w:hideMark/>
          </w:tcPr>
          <w:p w14:paraId="1621A29D" w14:textId="35607F43"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15.0</w:t>
            </w:r>
          </w:p>
        </w:tc>
        <w:tc>
          <w:tcPr>
            <w:tcW w:w="992" w:type="dxa"/>
            <w:tcBorders>
              <w:top w:val="nil"/>
              <w:left w:val="nil"/>
              <w:bottom w:val="nil"/>
              <w:right w:val="nil"/>
            </w:tcBorders>
            <w:shd w:val="clear" w:color="000000" w:fill="CAE7F3"/>
            <w:noWrap/>
            <w:hideMark/>
          </w:tcPr>
          <w:p w14:paraId="236815B6" w14:textId="3E649129"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4.0</w:t>
            </w:r>
          </w:p>
        </w:tc>
        <w:tc>
          <w:tcPr>
            <w:tcW w:w="1134" w:type="dxa"/>
            <w:tcBorders>
              <w:top w:val="nil"/>
              <w:left w:val="nil"/>
              <w:bottom w:val="nil"/>
              <w:right w:val="nil"/>
            </w:tcBorders>
            <w:shd w:val="clear" w:color="000000" w:fill="CAE7F3"/>
            <w:noWrap/>
            <w:hideMark/>
          </w:tcPr>
          <w:p w14:paraId="3AD4FCFB" w14:textId="2E5016C3"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-4.1</w:t>
            </w:r>
          </w:p>
        </w:tc>
        <w:tc>
          <w:tcPr>
            <w:tcW w:w="992" w:type="dxa"/>
            <w:tcBorders>
              <w:top w:val="nil"/>
              <w:left w:val="nil"/>
              <w:bottom w:val="nil"/>
              <w:right w:val="nil"/>
            </w:tcBorders>
            <w:shd w:val="clear" w:color="000000" w:fill="CAE7F3"/>
            <w:noWrap/>
            <w:hideMark/>
          </w:tcPr>
          <w:p w14:paraId="17F9FD7B" w14:textId="1E438002"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3.7</w:t>
            </w:r>
          </w:p>
        </w:tc>
      </w:tr>
      <w:tr w:rsidR="00865D28" w:rsidRPr="004E7952" w14:paraId="25783506" w14:textId="77777777" w:rsidTr="00153764">
        <w:trPr>
          <w:trHeight w:val="300"/>
        </w:trPr>
        <w:tc>
          <w:tcPr>
            <w:tcW w:w="3119" w:type="dxa"/>
            <w:tcBorders>
              <w:top w:val="nil"/>
              <w:left w:val="nil"/>
              <w:bottom w:val="nil"/>
              <w:right w:val="nil"/>
            </w:tcBorders>
            <w:shd w:val="clear" w:color="000000" w:fill="CAE7F3"/>
            <w:noWrap/>
          </w:tcPr>
          <w:p w14:paraId="29C5A080" w14:textId="7FE247FD" w:rsidR="00865D28" w:rsidRPr="00865D28" w:rsidRDefault="00865D28" w:rsidP="00865D28">
            <w:pPr>
              <w:spacing w:after="0" w:line="360" w:lineRule="auto"/>
              <w:ind w:left="0"/>
              <w:jc w:val="left"/>
              <w:rPr>
                <w:sz w:val="18"/>
                <w:szCs w:val="18"/>
              </w:rPr>
            </w:pPr>
            <w:r w:rsidRPr="00865D28">
              <w:rPr>
                <w:sz w:val="18"/>
                <w:szCs w:val="18"/>
              </w:rPr>
              <w:t xml:space="preserve">   - landfill gas</w:t>
            </w:r>
          </w:p>
        </w:tc>
        <w:tc>
          <w:tcPr>
            <w:tcW w:w="709" w:type="dxa"/>
            <w:tcBorders>
              <w:top w:val="nil"/>
              <w:left w:val="nil"/>
              <w:bottom w:val="nil"/>
              <w:right w:val="nil"/>
            </w:tcBorders>
            <w:shd w:val="clear" w:color="000000" w:fill="CAE7F3"/>
            <w:noWrap/>
          </w:tcPr>
          <w:p w14:paraId="1DAB0A25" w14:textId="769A8D8F" w:rsidR="00865D28" w:rsidRPr="00865D28" w:rsidRDefault="00865D28" w:rsidP="00865D28">
            <w:pPr>
              <w:spacing w:after="0" w:line="360" w:lineRule="auto"/>
              <w:ind w:left="0"/>
              <w:jc w:val="right"/>
              <w:rPr>
                <w:sz w:val="18"/>
                <w:szCs w:val="18"/>
                <w:highlight w:val="yellow"/>
              </w:rPr>
            </w:pPr>
            <w:r w:rsidRPr="00865D28">
              <w:rPr>
                <w:sz w:val="18"/>
                <w:szCs w:val="18"/>
              </w:rPr>
              <w:t>12.2</w:t>
            </w:r>
          </w:p>
        </w:tc>
        <w:tc>
          <w:tcPr>
            <w:tcW w:w="992" w:type="dxa"/>
            <w:tcBorders>
              <w:top w:val="nil"/>
              <w:left w:val="nil"/>
              <w:bottom w:val="nil"/>
              <w:right w:val="nil"/>
            </w:tcBorders>
            <w:shd w:val="clear" w:color="000000" w:fill="CAE7F3"/>
            <w:noWrap/>
          </w:tcPr>
          <w:p w14:paraId="45B0F765" w14:textId="7CA2B435" w:rsidR="00865D28" w:rsidRPr="00865D28" w:rsidRDefault="00865D28" w:rsidP="00865D28">
            <w:pPr>
              <w:spacing w:after="0" w:line="360" w:lineRule="auto"/>
              <w:ind w:left="0"/>
              <w:jc w:val="right"/>
              <w:rPr>
                <w:sz w:val="18"/>
                <w:szCs w:val="18"/>
                <w:highlight w:val="yellow"/>
              </w:rPr>
            </w:pPr>
            <w:r w:rsidRPr="00865D28">
              <w:rPr>
                <w:sz w:val="18"/>
                <w:szCs w:val="18"/>
              </w:rPr>
              <w:t>3.2</w:t>
            </w:r>
          </w:p>
        </w:tc>
        <w:tc>
          <w:tcPr>
            <w:tcW w:w="1134" w:type="dxa"/>
            <w:tcBorders>
              <w:top w:val="nil"/>
              <w:left w:val="nil"/>
              <w:bottom w:val="nil"/>
              <w:right w:val="nil"/>
            </w:tcBorders>
            <w:shd w:val="clear" w:color="000000" w:fill="CAE7F3"/>
            <w:noWrap/>
          </w:tcPr>
          <w:p w14:paraId="310FC23F" w14:textId="08E85BD4" w:rsidR="00865D28" w:rsidRPr="00865D28" w:rsidRDefault="00865D28" w:rsidP="00865D28">
            <w:pPr>
              <w:spacing w:after="0" w:line="360" w:lineRule="auto"/>
              <w:ind w:left="0"/>
              <w:jc w:val="right"/>
              <w:rPr>
                <w:sz w:val="18"/>
                <w:szCs w:val="18"/>
                <w:highlight w:val="yellow"/>
              </w:rPr>
            </w:pPr>
            <w:r w:rsidRPr="00865D28">
              <w:rPr>
                <w:sz w:val="18"/>
                <w:szCs w:val="18"/>
              </w:rPr>
              <w:t>-6.5</w:t>
            </w:r>
          </w:p>
        </w:tc>
        <w:tc>
          <w:tcPr>
            <w:tcW w:w="992" w:type="dxa"/>
            <w:tcBorders>
              <w:top w:val="nil"/>
              <w:left w:val="nil"/>
              <w:bottom w:val="nil"/>
              <w:right w:val="nil"/>
            </w:tcBorders>
            <w:shd w:val="clear" w:color="000000" w:fill="CAE7F3"/>
            <w:noWrap/>
          </w:tcPr>
          <w:p w14:paraId="449BBB96" w14:textId="04032F73" w:rsidR="00865D28" w:rsidRPr="00865D28" w:rsidRDefault="00865D28" w:rsidP="00865D28">
            <w:pPr>
              <w:spacing w:after="0" w:line="360" w:lineRule="auto"/>
              <w:ind w:left="0"/>
              <w:jc w:val="right"/>
              <w:rPr>
                <w:sz w:val="18"/>
                <w:szCs w:val="18"/>
                <w:highlight w:val="yellow"/>
              </w:rPr>
            </w:pPr>
            <w:r w:rsidRPr="00865D28">
              <w:rPr>
                <w:sz w:val="18"/>
                <w:szCs w:val="18"/>
              </w:rPr>
              <w:t>na</w:t>
            </w:r>
          </w:p>
        </w:tc>
      </w:tr>
      <w:tr w:rsidR="00865D28" w:rsidRPr="004E7952" w14:paraId="2CA6BB87" w14:textId="77777777" w:rsidTr="00153764">
        <w:trPr>
          <w:trHeight w:val="300"/>
        </w:trPr>
        <w:tc>
          <w:tcPr>
            <w:tcW w:w="3119" w:type="dxa"/>
            <w:tcBorders>
              <w:top w:val="nil"/>
              <w:left w:val="nil"/>
              <w:bottom w:val="nil"/>
              <w:right w:val="nil"/>
            </w:tcBorders>
            <w:shd w:val="clear" w:color="000000" w:fill="CAE7F3"/>
            <w:noWrap/>
          </w:tcPr>
          <w:p w14:paraId="18E8137E" w14:textId="406A1DCC" w:rsidR="00865D28" w:rsidRPr="00865D28" w:rsidRDefault="00865D28" w:rsidP="00865D28">
            <w:pPr>
              <w:spacing w:after="0" w:line="360" w:lineRule="auto"/>
              <w:ind w:left="0"/>
              <w:jc w:val="left"/>
              <w:rPr>
                <w:sz w:val="18"/>
                <w:szCs w:val="18"/>
              </w:rPr>
            </w:pPr>
            <w:r w:rsidRPr="00865D28">
              <w:rPr>
                <w:sz w:val="18"/>
                <w:szCs w:val="18"/>
              </w:rPr>
              <w:t xml:space="preserve">   - other biogas</w:t>
            </w:r>
          </w:p>
        </w:tc>
        <w:tc>
          <w:tcPr>
            <w:tcW w:w="709" w:type="dxa"/>
            <w:tcBorders>
              <w:top w:val="nil"/>
              <w:left w:val="nil"/>
              <w:bottom w:val="nil"/>
              <w:right w:val="nil"/>
            </w:tcBorders>
            <w:shd w:val="clear" w:color="000000" w:fill="CAE7F3"/>
            <w:noWrap/>
          </w:tcPr>
          <w:p w14:paraId="1A40750F" w14:textId="74EBA894" w:rsidR="00865D28" w:rsidRPr="00865D28" w:rsidRDefault="00865D28" w:rsidP="00865D28">
            <w:pPr>
              <w:spacing w:after="0" w:line="360" w:lineRule="auto"/>
              <w:ind w:left="0"/>
              <w:jc w:val="right"/>
              <w:rPr>
                <w:sz w:val="18"/>
                <w:szCs w:val="18"/>
                <w:highlight w:val="yellow"/>
              </w:rPr>
            </w:pPr>
            <w:r w:rsidRPr="00865D28">
              <w:rPr>
                <w:sz w:val="18"/>
                <w:szCs w:val="18"/>
              </w:rPr>
              <w:t>2.8</w:t>
            </w:r>
          </w:p>
        </w:tc>
        <w:tc>
          <w:tcPr>
            <w:tcW w:w="992" w:type="dxa"/>
            <w:tcBorders>
              <w:top w:val="nil"/>
              <w:left w:val="nil"/>
              <w:bottom w:val="nil"/>
              <w:right w:val="nil"/>
            </w:tcBorders>
            <w:shd w:val="clear" w:color="000000" w:fill="CAE7F3"/>
            <w:noWrap/>
          </w:tcPr>
          <w:p w14:paraId="35D78157" w14:textId="4F9F3DE0" w:rsidR="00865D28" w:rsidRPr="00865D28" w:rsidRDefault="00865D28" w:rsidP="00865D28">
            <w:pPr>
              <w:spacing w:after="0" w:line="360" w:lineRule="auto"/>
              <w:ind w:left="0"/>
              <w:jc w:val="right"/>
              <w:rPr>
                <w:sz w:val="18"/>
                <w:szCs w:val="18"/>
                <w:highlight w:val="yellow"/>
              </w:rPr>
            </w:pPr>
            <w:r w:rsidRPr="00865D28">
              <w:rPr>
                <w:sz w:val="18"/>
                <w:szCs w:val="18"/>
              </w:rPr>
              <w:t>0.7</w:t>
            </w:r>
          </w:p>
        </w:tc>
        <w:tc>
          <w:tcPr>
            <w:tcW w:w="1134" w:type="dxa"/>
            <w:tcBorders>
              <w:top w:val="nil"/>
              <w:left w:val="nil"/>
              <w:bottom w:val="nil"/>
              <w:right w:val="nil"/>
            </w:tcBorders>
            <w:shd w:val="clear" w:color="000000" w:fill="CAE7F3"/>
            <w:noWrap/>
          </w:tcPr>
          <w:p w14:paraId="2789A59F" w14:textId="2B159557" w:rsidR="00865D28" w:rsidRPr="00865D28" w:rsidRDefault="00865D28" w:rsidP="00865D28">
            <w:pPr>
              <w:spacing w:after="0" w:line="360" w:lineRule="auto"/>
              <w:ind w:left="0"/>
              <w:jc w:val="right"/>
              <w:rPr>
                <w:sz w:val="18"/>
                <w:szCs w:val="18"/>
                <w:highlight w:val="yellow"/>
              </w:rPr>
            </w:pPr>
            <w:r w:rsidRPr="00865D28">
              <w:rPr>
                <w:sz w:val="18"/>
                <w:szCs w:val="18"/>
              </w:rPr>
              <w:t>8.0</w:t>
            </w:r>
          </w:p>
        </w:tc>
        <w:tc>
          <w:tcPr>
            <w:tcW w:w="992" w:type="dxa"/>
            <w:tcBorders>
              <w:top w:val="nil"/>
              <w:left w:val="nil"/>
              <w:bottom w:val="nil"/>
              <w:right w:val="nil"/>
            </w:tcBorders>
            <w:shd w:val="clear" w:color="000000" w:fill="CAE7F3"/>
            <w:noWrap/>
          </w:tcPr>
          <w:p w14:paraId="66A39562" w14:textId="365BBB6B" w:rsidR="00865D28" w:rsidRPr="00865D28" w:rsidRDefault="00865D28" w:rsidP="00865D28">
            <w:pPr>
              <w:spacing w:after="0" w:line="360" w:lineRule="auto"/>
              <w:ind w:left="0"/>
              <w:jc w:val="right"/>
              <w:rPr>
                <w:sz w:val="18"/>
                <w:szCs w:val="18"/>
                <w:highlight w:val="yellow"/>
              </w:rPr>
            </w:pPr>
            <w:r w:rsidRPr="00865D28">
              <w:rPr>
                <w:sz w:val="18"/>
                <w:szCs w:val="18"/>
              </w:rPr>
              <w:t>na</w:t>
            </w:r>
          </w:p>
        </w:tc>
      </w:tr>
      <w:tr w:rsidR="00865D28" w:rsidRPr="004E7952" w14:paraId="000E318D" w14:textId="77777777" w:rsidTr="00153764">
        <w:trPr>
          <w:trHeight w:val="300"/>
        </w:trPr>
        <w:tc>
          <w:tcPr>
            <w:tcW w:w="3119" w:type="dxa"/>
            <w:tcBorders>
              <w:top w:val="nil"/>
              <w:left w:val="nil"/>
              <w:bottom w:val="nil"/>
              <w:right w:val="nil"/>
            </w:tcBorders>
            <w:shd w:val="clear" w:color="000000" w:fill="CAE7F3"/>
            <w:noWrap/>
            <w:hideMark/>
          </w:tcPr>
          <w:p w14:paraId="3C7BBEAD" w14:textId="34FECCCD" w:rsidR="00865D28" w:rsidRPr="00865D28" w:rsidRDefault="00865D28" w:rsidP="00865D28">
            <w:pPr>
              <w:spacing w:after="0" w:line="360" w:lineRule="auto"/>
              <w:ind w:left="0"/>
              <w:jc w:val="left"/>
              <w:rPr>
                <w:rFonts w:eastAsia="Times New Roman" w:cs="Arial"/>
                <w:sz w:val="18"/>
                <w:szCs w:val="18"/>
                <w:lang w:eastAsia="en-AU"/>
              </w:rPr>
            </w:pPr>
            <w:r w:rsidRPr="00865D28">
              <w:rPr>
                <w:sz w:val="18"/>
                <w:szCs w:val="18"/>
              </w:rPr>
              <w:t>Biofuels</w:t>
            </w:r>
          </w:p>
        </w:tc>
        <w:tc>
          <w:tcPr>
            <w:tcW w:w="709" w:type="dxa"/>
            <w:tcBorders>
              <w:top w:val="nil"/>
              <w:left w:val="nil"/>
              <w:bottom w:val="nil"/>
              <w:right w:val="nil"/>
            </w:tcBorders>
            <w:shd w:val="clear" w:color="000000" w:fill="CAE7F3"/>
            <w:noWrap/>
            <w:hideMark/>
          </w:tcPr>
          <w:p w14:paraId="724ECBC9" w14:textId="29610F23"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7.1</w:t>
            </w:r>
          </w:p>
        </w:tc>
        <w:tc>
          <w:tcPr>
            <w:tcW w:w="992" w:type="dxa"/>
            <w:tcBorders>
              <w:top w:val="nil"/>
              <w:left w:val="nil"/>
              <w:bottom w:val="nil"/>
              <w:right w:val="nil"/>
            </w:tcBorders>
            <w:shd w:val="clear" w:color="000000" w:fill="CAE7F3"/>
            <w:noWrap/>
            <w:hideMark/>
          </w:tcPr>
          <w:p w14:paraId="53ECCF29" w14:textId="742B33AC"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1.9</w:t>
            </w:r>
          </w:p>
        </w:tc>
        <w:tc>
          <w:tcPr>
            <w:tcW w:w="1134" w:type="dxa"/>
            <w:tcBorders>
              <w:top w:val="nil"/>
              <w:left w:val="nil"/>
              <w:bottom w:val="nil"/>
              <w:right w:val="nil"/>
            </w:tcBorders>
            <w:shd w:val="clear" w:color="000000" w:fill="CAE7F3"/>
            <w:noWrap/>
            <w:hideMark/>
          </w:tcPr>
          <w:p w14:paraId="6F22B858" w14:textId="5FD47A76"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-5.3</w:t>
            </w:r>
          </w:p>
        </w:tc>
        <w:tc>
          <w:tcPr>
            <w:tcW w:w="992" w:type="dxa"/>
            <w:tcBorders>
              <w:top w:val="nil"/>
              <w:left w:val="nil"/>
              <w:bottom w:val="nil"/>
              <w:right w:val="nil"/>
            </w:tcBorders>
            <w:shd w:val="clear" w:color="000000" w:fill="CAE7F3"/>
            <w:noWrap/>
            <w:hideMark/>
          </w:tcPr>
          <w:p w14:paraId="2206F5BE" w14:textId="20EA7131"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5.3</w:t>
            </w:r>
          </w:p>
        </w:tc>
      </w:tr>
      <w:tr w:rsidR="00865D28" w:rsidRPr="004E7952" w14:paraId="06CBFFFD" w14:textId="77777777" w:rsidTr="00153764">
        <w:trPr>
          <w:trHeight w:val="300"/>
        </w:trPr>
        <w:tc>
          <w:tcPr>
            <w:tcW w:w="3119" w:type="dxa"/>
            <w:tcBorders>
              <w:top w:val="nil"/>
              <w:left w:val="nil"/>
              <w:bottom w:val="nil"/>
              <w:right w:val="nil"/>
            </w:tcBorders>
            <w:shd w:val="clear" w:color="000000" w:fill="CAE7F3"/>
            <w:noWrap/>
            <w:hideMark/>
          </w:tcPr>
          <w:p w14:paraId="3B8F9230" w14:textId="0B54247A" w:rsidR="00865D28" w:rsidRPr="00865D28" w:rsidRDefault="00865D28" w:rsidP="00865D28">
            <w:pPr>
              <w:spacing w:after="0" w:line="360" w:lineRule="auto"/>
              <w:ind w:left="0"/>
              <w:jc w:val="left"/>
              <w:rPr>
                <w:rFonts w:eastAsia="Times New Roman" w:cs="Arial"/>
                <w:sz w:val="18"/>
                <w:szCs w:val="18"/>
                <w:lang w:eastAsia="en-AU"/>
              </w:rPr>
            </w:pPr>
            <w:r w:rsidRPr="00865D28">
              <w:rPr>
                <w:sz w:val="18"/>
                <w:szCs w:val="18"/>
              </w:rPr>
              <w:t xml:space="preserve">   - ethanol</w:t>
            </w:r>
          </w:p>
        </w:tc>
        <w:tc>
          <w:tcPr>
            <w:tcW w:w="709" w:type="dxa"/>
            <w:tcBorders>
              <w:top w:val="nil"/>
              <w:left w:val="nil"/>
              <w:bottom w:val="nil"/>
              <w:right w:val="nil"/>
            </w:tcBorders>
            <w:shd w:val="clear" w:color="000000" w:fill="CAE7F3"/>
            <w:noWrap/>
            <w:hideMark/>
          </w:tcPr>
          <w:p w14:paraId="0DE81C79" w14:textId="2C5AF599"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6.4</w:t>
            </w:r>
          </w:p>
        </w:tc>
        <w:tc>
          <w:tcPr>
            <w:tcW w:w="992" w:type="dxa"/>
            <w:tcBorders>
              <w:top w:val="nil"/>
              <w:left w:val="nil"/>
              <w:bottom w:val="nil"/>
              <w:right w:val="nil"/>
            </w:tcBorders>
            <w:shd w:val="clear" w:color="000000" w:fill="CAE7F3"/>
            <w:noWrap/>
            <w:hideMark/>
          </w:tcPr>
          <w:p w14:paraId="1C9917B0" w14:textId="098A8496"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1.7</w:t>
            </w:r>
          </w:p>
        </w:tc>
        <w:tc>
          <w:tcPr>
            <w:tcW w:w="1134" w:type="dxa"/>
            <w:tcBorders>
              <w:top w:val="nil"/>
              <w:left w:val="nil"/>
              <w:bottom w:val="nil"/>
              <w:right w:val="nil"/>
            </w:tcBorders>
            <w:shd w:val="clear" w:color="000000" w:fill="CAE7F3"/>
            <w:noWrap/>
            <w:hideMark/>
          </w:tcPr>
          <w:p w14:paraId="6C87798D" w14:textId="6CBA7A51"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3.4</w:t>
            </w:r>
          </w:p>
        </w:tc>
        <w:tc>
          <w:tcPr>
            <w:tcW w:w="992" w:type="dxa"/>
            <w:tcBorders>
              <w:top w:val="nil"/>
              <w:left w:val="nil"/>
              <w:bottom w:val="nil"/>
              <w:right w:val="nil"/>
            </w:tcBorders>
            <w:shd w:val="clear" w:color="000000" w:fill="CAE7F3"/>
            <w:noWrap/>
            <w:hideMark/>
          </w:tcPr>
          <w:p w14:paraId="244F06FE" w14:textId="3ACCE316"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na</w:t>
            </w:r>
          </w:p>
        </w:tc>
      </w:tr>
      <w:tr w:rsidR="00865D28" w:rsidRPr="004E7952" w14:paraId="2F9F65C3" w14:textId="77777777" w:rsidTr="00153764">
        <w:trPr>
          <w:trHeight w:val="300"/>
        </w:trPr>
        <w:tc>
          <w:tcPr>
            <w:tcW w:w="3119" w:type="dxa"/>
            <w:tcBorders>
              <w:top w:val="nil"/>
              <w:left w:val="nil"/>
              <w:bottom w:val="nil"/>
              <w:right w:val="nil"/>
            </w:tcBorders>
            <w:shd w:val="clear" w:color="000000" w:fill="CAE7F3"/>
            <w:noWrap/>
            <w:hideMark/>
          </w:tcPr>
          <w:p w14:paraId="5B284BD9" w14:textId="3BF14C95" w:rsidR="00865D28" w:rsidRPr="00865D28" w:rsidRDefault="00865D28" w:rsidP="00865D28">
            <w:pPr>
              <w:spacing w:after="0" w:line="360" w:lineRule="auto"/>
              <w:ind w:left="0"/>
              <w:jc w:val="left"/>
              <w:rPr>
                <w:rFonts w:eastAsia="Times New Roman" w:cs="Arial"/>
                <w:sz w:val="18"/>
                <w:szCs w:val="18"/>
                <w:lang w:eastAsia="en-AU"/>
              </w:rPr>
            </w:pPr>
            <w:r w:rsidRPr="00865D28">
              <w:rPr>
                <w:sz w:val="18"/>
                <w:szCs w:val="18"/>
              </w:rPr>
              <w:t xml:space="preserve">   - biodiesel</w:t>
            </w:r>
          </w:p>
        </w:tc>
        <w:tc>
          <w:tcPr>
            <w:tcW w:w="709" w:type="dxa"/>
            <w:tcBorders>
              <w:top w:val="nil"/>
              <w:left w:val="nil"/>
              <w:bottom w:val="nil"/>
              <w:right w:val="nil"/>
            </w:tcBorders>
            <w:shd w:val="clear" w:color="000000" w:fill="CAE7F3"/>
            <w:noWrap/>
            <w:hideMark/>
          </w:tcPr>
          <w:p w14:paraId="33F2B3DA" w14:textId="2081CE9D"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0.6</w:t>
            </w:r>
          </w:p>
        </w:tc>
        <w:tc>
          <w:tcPr>
            <w:tcW w:w="992" w:type="dxa"/>
            <w:tcBorders>
              <w:top w:val="nil"/>
              <w:left w:val="nil"/>
              <w:bottom w:val="nil"/>
              <w:right w:val="nil"/>
            </w:tcBorders>
            <w:shd w:val="clear" w:color="000000" w:fill="CAE7F3"/>
            <w:noWrap/>
            <w:hideMark/>
          </w:tcPr>
          <w:p w14:paraId="00EA7AE1" w14:textId="68643B0A"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0.2</w:t>
            </w:r>
          </w:p>
        </w:tc>
        <w:tc>
          <w:tcPr>
            <w:tcW w:w="1134" w:type="dxa"/>
            <w:tcBorders>
              <w:top w:val="nil"/>
              <w:left w:val="nil"/>
              <w:bottom w:val="nil"/>
              <w:right w:val="nil"/>
            </w:tcBorders>
            <w:shd w:val="clear" w:color="000000" w:fill="CAE7F3"/>
            <w:noWrap/>
            <w:hideMark/>
          </w:tcPr>
          <w:p w14:paraId="3A196BFB" w14:textId="0F225539"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-48.7</w:t>
            </w:r>
          </w:p>
        </w:tc>
        <w:tc>
          <w:tcPr>
            <w:tcW w:w="992" w:type="dxa"/>
            <w:tcBorders>
              <w:top w:val="nil"/>
              <w:left w:val="nil"/>
              <w:bottom w:val="nil"/>
              <w:right w:val="nil"/>
            </w:tcBorders>
            <w:shd w:val="clear" w:color="000000" w:fill="CAE7F3"/>
            <w:noWrap/>
            <w:hideMark/>
          </w:tcPr>
          <w:p w14:paraId="7C504CCE" w14:textId="3F30BA2F"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na</w:t>
            </w:r>
          </w:p>
        </w:tc>
      </w:tr>
      <w:tr w:rsidR="00865D28" w:rsidRPr="004E7952" w14:paraId="5120BD97" w14:textId="77777777" w:rsidTr="00153764">
        <w:trPr>
          <w:trHeight w:val="300"/>
        </w:trPr>
        <w:tc>
          <w:tcPr>
            <w:tcW w:w="3119" w:type="dxa"/>
            <w:tcBorders>
              <w:top w:val="nil"/>
              <w:left w:val="nil"/>
              <w:bottom w:val="nil"/>
              <w:right w:val="nil"/>
            </w:tcBorders>
            <w:shd w:val="clear" w:color="000000" w:fill="CAE7F3"/>
            <w:noWrap/>
            <w:hideMark/>
          </w:tcPr>
          <w:p w14:paraId="110FA51C" w14:textId="42BEAF83" w:rsidR="00865D28" w:rsidRPr="00865D28" w:rsidRDefault="00865D28" w:rsidP="00865D28">
            <w:pPr>
              <w:spacing w:after="0" w:line="360" w:lineRule="auto"/>
              <w:ind w:left="0"/>
              <w:jc w:val="left"/>
              <w:rPr>
                <w:rFonts w:eastAsia="Times New Roman" w:cs="Arial"/>
                <w:sz w:val="18"/>
                <w:szCs w:val="18"/>
                <w:lang w:eastAsia="en-AU"/>
              </w:rPr>
            </w:pPr>
            <w:r w:rsidRPr="00865D28">
              <w:rPr>
                <w:sz w:val="18"/>
                <w:szCs w:val="18"/>
              </w:rPr>
              <w:t>Hydro</w:t>
            </w:r>
          </w:p>
        </w:tc>
        <w:tc>
          <w:tcPr>
            <w:tcW w:w="709" w:type="dxa"/>
            <w:tcBorders>
              <w:top w:val="nil"/>
              <w:left w:val="nil"/>
              <w:bottom w:val="nil"/>
              <w:right w:val="nil"/>
            </w:tcBorders>
            <w:shd w:val="clear" w:color="000000" w:fill="CAE7F3"/>
            <w:noWrap/>
            <w:hideMark/>
          </w:tcPr>
          <w:p w14:paraId="203DF0A6" w14:textId="43F5083D"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58.6</w:t>
            </w:r>
          </w:p>
        </w:tc>
        <w:tc>
          <w:tcPr>
            <w:tcW w:w="992" w:type="dxa"/>
            <w:tcBorders>
              <w:top w:val="nil"/>
              <w:left w:val="nil"/>
              <w:bottom w:val="nil"/>
              <w:right w:val="nil"/>
            </w:tcBorders>
            <w:shd w:val="clear" w:color="000000" w:fill="CAE7F3"/>
            <w:noWrap/>
            <w:hideMark/>
          </w:tcPr>
          <w:p w14:paraId="0345E31B" w14:textId="6E3A947E"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15.5</w:t>
            </w:r>
          </w:p>
        </w:tc>
        <w:tc>
          <w:tcPr>
            <w:tcW w:w="1134" w:type="dxa"/>
            <w:tcBorders>
              <w:top w:val="nil"/>
              <w:left w:val="nil"/>
              <w:bottom w:val="nil"/>
              <w:right w:val="nil"/>
            </w:tcBorders>
            <w:shd w:val="clear" w:color="000000" w:fill="CAE7F3"/>
            <w:noWrap/>
            <w:hideMark/>
          </w:tcPr>
          <w:p w14:paraId="7256D334" w14:textId="645048F4"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6.3</w:t>
            </w:r>
          </w:p>
        </w:tc>
        <w:tc>
          <w:tcPr>
            <w:tcW w:w="992" w:type="dxa"/>
            <w:tcBorders>
              <w:top w:val="nil"/>
              <w:left w:val="nil"/>
              <w:bottom w:val="nil"/>
              <w:right w:val="nil"/>
            </w:tcBorders>
            <w:shd w:val="clear" w:color="000000" w:fill="CAE7F3"/>
            <w:noWrap/>
            <w:hideMark/>
          </w:tcPr>
          <w:p w14:paraId="07F15A45" w14:textId="145DCF12"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3.4</w:t>
            </w:r>
          </w:p>
        </w:tc>
      </w:tr>
      <w:tr w:rsidR="00865D28" w:rsidRPr="004E7952" w14:paraId="45CAD61A" w14:textId="77777777" w:rsidTr="00153764">
        <w:trPr>
          <w:trHeight w:val="255"/>
        </w:trPr>
        <w:tc>
          <w:tcPr>
            <w:tcW w:w="3119" w:type="dxa"/>
            <w:tcBorders>
              <w:top w:val="nil"/>
              <w:left w:val="nil"/>
              <w:bottom w:val="nil"/>
              <w:right w:val="nil"/>
            </w:tcBorders>
            <w:shd w:val="clear" w:color="000000" w:fill="CAE7F3"/>
            <w:noWrap/>
            <w:hideMark/>
          </w:tcPr>
          <w:p w14:paraId="7016305B" w14:textId="53B4A7AA" w:rsidR="00865D28" w:rsidRPr="00865D28" w:rsidRDefault="00865D28" w:rsidP="00865D28">
            <w:pPr>
              <w:spacing w:after="0" w:line="360" w:lineRule="auto"/>
              <w:ind w:left="0"/>
              <w:jc w:val="left"/>
              <w:rPr>
                <w:rFonts w:eastAsia="Times New Roman" w:cs="Arial"/>
                <w:sz w:val="18"/>
                <w:szCs w:val="18"/>
                <w:lang w:eastAsia="en-AU"/>
              </w:rPr>
            </w:pPr>
            <w:r w:rsidRPr="00865D28">
              <w:rPr>
                <w:sz w:val="18"/>
                <w:szCs w:val="18"/>
              </w:rPr>
              <w:t>Wind</w:t>
            </w:r>
          </w:p>
        </w:tc>
        <w:tc>
          <w:tcPr>
            <w:tcW w:w="709" w:type="dxa"/>
            <w:tcBorders>
              <w:top w:val="nil"/>
              <w:left w:val="nil"/>
              <w:bottom w:val="nil"/>
              <w:right w:val="nil"/>
            </w:tcBorders>
            <w:shd w:val="clear" w:color="000000" w:fill="CAE7F3"/>
            <w:noWrap/>
            <w:hideMark/>
          </w:tcPr>
          <w:p w14:paraId="1E49FF7B" w14:textId="6B212AA8"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45.3</w:t>
            </w:r>
          </w:p>
        </w:tc>
        <w:tc>
          <w:tcPr>
            <w:tcW w:w="992" w:type="dxa"/>
            <w:tcBorders>
              <w:top w:val="nil"/>
              <w:left w:val="nil"/>
              <w:bottom w:val="nil"/>
              <w:right w:val="nil"/>
            </w:tcBorders>
            <w:shd w:val="clear" w:color="000000" w:fill="CAE7F3"/>
            <w:noWrap/>
            <w:hideMark/>
          </w:tcPr>
          <w:p w14:paraId="17DAE53B" w14:textId="0CD45A6A"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12.0</w:t>
            </w:r>
          </w:p>
        </w:tc>
        <w:tc>
          <w:tcPr>
            <w:tcW w:w="1134" w:type="dxa"/>
            <w:tcBorders>
              <w:top w:val="nil"/>
              <w:left w:val="nil"/>
              <w:bottom w:val="nil"/>
              <w:right w:val="nil"/>
            </w:tcBorders>
            <w:shd w:val="clear" w:color="000000" w:fill="CAE7F3"/>
            <w:noWrap/>
            <w:hideMark/>
          </w:tcPr>
          <w:p w14:paraId="5878A845" w14:textId="353239F0"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3.3</w:t>
            </w:r>
          </w:p>
        </w:tc>
        <w:tc>
          <w:tcPr>
            <w:tcW w:w="992" w:type="dxa"/>
            <w:tcBorders>
              <w:top w:val="nil"/>
              <w:left w:val="nil"/>
              <w:bottom w:val="nil"/>
              <w:right w:val="nil"/>
            </w:tcBorders>
            <w:shd w:val="clear" w:color="000000" w:fill="CAE7F3"/>
            <w:noWrap/>
            <w:hideMark/>
          </w:tcPr>
          <w:p w14:paraId="27DC3430" w14:textId="1B6D3F8B"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16.9</w:t>
            </w:r>
          </w:p>
        </w:tc>
      </w:tr>
      <w:tr w:rsidR="00865D28" w:rsidRPr="004E7952" w14:paraId="1FA02AF6" w14:textId="77777777" w:rsidTr="00153764">
        <w:trPr>
          <w:trHeight w:val="300"/>
        </w:trPr>
        <w:tc>
          <w:tcPr>
            <w:tcW w:w="3119" w:type="dxa"/>
            <w:tcBorders>
              <w:top w:val="nil"/>
              <w:left w:val="nil"/>
              <w:bottom w:val="nil"/>
              <w:right w:val="nil"/>
            </w:tcBorders>
            <w:shd w:val="clear" w:color="000000" w:fill="CAE7F3"/>
            <w:noWrap/>
            <w:hideMark/>
          </w:tcPr>
          <w:p w14:paraId="118473EC" w14:textId="5FAEF9AA" w:rsidR="00865D28" w:rsidRPr="00865D28" w:rsidRDefault="00865D28" w:rsidP="00865D28">
            <w:pPr>
              <w:spacing w:after="0" w:line="360" w:lineRule="auto"/>
              <w:ind w:left="0"/>
              <w:jc w:val="left"/>
              <w:rPr>
                <w:rFonts w:eastAsia="Times New Roman" w:cs="Arial"/>
                <w:sz w:val="18"/>
                <w:szCs w:val="18"/>
                <w:lang w:eastAsia="en-AU"/>
              </w:rPr>
            </w:pPr>
            <w:r w:rsidRPr="00865D28">
              <w:rPr>
                <w:sz w:val="18"/>
                <w:szCs w:val="18"/>
              </w:rPr>
              <w:t>Solar PV</w:t>
            </w:r>
          </w:p>
        </w:tc>
        <w:tc>
          <w:tcPr>
            <w:tcW w:w="709" w:type="dxa"/>
            <w:tcBorders>
              <w:top w:val="nil"/>
              <w:left w:val="nil"/>
              <w:bottom w:val="nil"/>
              <w:right w:val="nil"/>
            </w:tcBorders>
            <w:shd w:val="clear" w:color="000000" w:fill="CAE7F3"/>
            <w:noWrap/>
            <w:hideMark/>
          </w:tcPr>
          <w:p w14:paraId="215FDB5C" w14:textId="245A059C"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29.1</w:t>
            </w:r>
          </w:p>
        </w:tc>
        <w:tc>
          <w:tcPr>
            <w:tcW w:w="992" w:type="dxa"/>
            <w:tcBorders>
              <w:top w:val="nil"/>
              <w:left w:val="nil"/>
              <w:bottom w:val="nil"/>
              <w:right w:val="nil"/>
            </w:tcBorders>
            <w:shd w:val="clear" w:color="000000" w:fill="CAE7F3"/>
            <w:noWrap/>
            <w:hideMark/>
          </w:tcPr>
          <w:p w14:paraId="756F1BDB" w14:textId="112DCA52"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7.7</w:t>
            </w:r>
          </w:p>
        </w:tc>
        <w:tc>
          <w:tcPr>
            <w:tcW w:w="1134" w:type="dxa"/>
            <w:tcBorders>
              <w:top w:val="nil"/>
              <w:left w:val="nil"/>
              <w:bottom w:val="nil"/>
              <w:right w:val="nil"/>
            </w:tcBorders>
            <w:shd w:val="clear" w:color="000000" w:fill="CAE7F3"/>
            <w:noWrap/>
            <w:hideMark/>
          </w:tcPr>
          <w:p w14:paraId="24FDCD3F" w14:textId="29A08772"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18.0</w:t>
            </w:r>
          </w:p>
        </w:tc>
        <w:tc>
          <w:tcPr>
            <w:tcW w:w="992" w:type="dxa"/>
            <w:tcBorders>
              <w:top w:val="nil"/>
              <w:left w:val="nil"/>
              <w:bottom w:val="nil"/>
              <w:right w:val="nil"/>
            </w:tcBorders>
            <w:shd w:val="clear" w:color="000000" w:fill="CAE7F3"/>
            <w:noWrap/>
            <w:hideMark/>
          </w:tcPr>
          <w:p w14:paraId="37B7C227" w14:textId="507634AF" w:rsidR="00865D28" w:rsidRPr="00865D28" w:rsidRDefault="00865D28" w:rsidP="00865D28">
            <w:pPr>
              <w:spacing w:after="0" w:line="360" w:lineRule="auto"/>
              <w:ind w:left="0"/>
              <w:jc w:val="right"/>
              <w:rPr>
                <w:rFonts w:eastAsia="Times New Roman" w:cs="Arial"/>
                <w:sz w:val="18"/>
                <w:szCs w:val="18"/>
                <w:lang w:eastAsia="en-AU"/>
              </w:rPr>
            </w:pPr>
            <w:r w:rsidRPr="00865D28">
              <w:rPr>
                <w:sz w:val="18"/>
                <w:szCs w:val="18"/>
              </w:rPr>
              <w:t>59.2</w:t>
            </w:r>
          </w:p>
        </w:tc>
      </w:tr>
      <w:tr w:rsidR="00865D28" w:rsidRPr="004E7952" w14:paraId="17CCF2A6" w14:textId="77777777" w:rsidTr="00153764">
        <w:trPr>
          <w:trHeight w:val="255"/>
        </w:trPr>
        <w:tc>
          <w:tcPr>
            <w:tcW w:w="3119" w:type="dxa"/>
            <w:tcBorders>
              <w:top w:val="nil"/>
              <w:left w:val="nil"/>
              <w:bottom w:val="nil"/>
              <w:right w:val="nil"/>
            </w:tcBorders>
            <w:shd w:val="clear" w:color="000000" w:fill="CAE7F3"/>
            <w:noWrap/>
            <w:hideMark/>
          </w:tcPr>
          <w:p w14:paraId="5E9CDC35" w14:textId="3BE25EB0" w:rsidR="00865D28" w:rsidRPr="00865D28" w:rsidRDefault="00865D28" w:rsidP="00865D28">
            <w:pPr>
              <w:spacing w:after="0" w:line="480" w:lineRule="auto"/>
              <w:ind w:left="0"/>
              <w:jc w:val="left"/>
              <w:rPr>
                <w:rFonts w:eastAsia="Times New Roman" w:cs="Arial"/>
                <w:sz w:val="18"/>
                <w:szCs w:val="18"/>
                <w:lang w:eastAsia="en-AU"/>
              </w:rPr>
            </w:pPr>
            <w:r w:rsidRPr="00865D28">
              <w:rPr>
                <w:sz w:val="18"/>
                <w:szCs w:val="18"/>
              </w:rPr>
              <w:t xml:space="preserve">Solar </w:t>
            </w:r>
            <w:r w:rsidR="003A0C78" w:rsidRPr="00865D28">
              <w:rPr>
                <w:sz w:val="18"/>
                <w:szCs w:val="18"/>
              </w:rPr>
              <w:t>hot water</w:t>
            </w:r>
          </w:p>
        </w:tc>
        <w:tc>
          <w:tcPr>
            <w:tcW w:w="709" w:type="dxa"/>
            <w:tcBorders>
              <w:top w:val="nil"/>
              <w:left w:val="nil"/>
              <w:bottom w:val="nil"/>
              <w:right w:val="nil"/>
            </w:tcBorders>
            <w:shd w:val="clear" w:color="000000" w:fill="CAE7F3"/>
            <w:noWrap/>
            <w:hideMark/>
          </w:tcPr>
          <w:p w14:paraId="42B8C9FA" w14:textId="02E8E875" w:rsidR="00865D28" w:rsidRPr="00865D28" w:rsidRDefault="00865D28" w:rsidP="00865D28">
            <w:pPr>
              <w:spacing w:after="0" w:line="480" w:lineRule="auto"/>
              <w:ind w:left="0"/>
              <w:jc w:val="right"/>
              <w:rPr>
                <w:rFonts w:eastAsia="Times New Roman" w:cs="Arial"/>
                <w:sz w:val="18"/>
                <w:szCs w:val="18"/>
                <w:lang w:eastAsia="en-AU"/>
              </w:rPr>
            </w:pPr>
            <w:r w:rsidRPr="00865D28">
              <w:rPr>
                <w:sz w:val="18"/>
                <w:szCs w:val="18"/>
              </w:rPr>
              <w:t>15.7</w:t>
            </w:r>
          </w:p>
        </w:tc>
        <w:tc>
          <w:tcPr>
            <w:tcW w:w="992" w:type="dxa"/>
            <w:tcBorders>
              <w:top w:val="nil"/>
              <w:left w:val="nil"/>
              <w:bottom w:val="nil"/>
              <w:right w:val="nil"/>
            </w:tcBorders>
            <w:shd w:val="clear" w:color="000000" w:fill="CAE7F3"/>
            <w:noWrap/>
            <w:hideMark/>
          </w:tcPr>
          <w:p w14:paraId="462944CD" w14:textId="48662B37" w:rsidR="00865D28" w:rsidRPr="00865D28" w:rsidRDefault="00865D28" w:rsidP="00865D28">
            <w:pPr>
              <w:spacing w:after="0" w:line="480" w:lineRule="auto"/>
              <w:ind w:left="0"/>
              <w:jc w:val="right"/>
              <w:rPr>
                <w:rFonts w:eastAsia="Times New Roman" w:cs="Arial"/>
                <w:sz w:val="18"/>
                <w:szCs w:val="18"/>
                <w:lang w:eastAsia="en-AU"/>
              </w:rPr>
            </w:pPr>
            <w:r w:rsidRPr="00865D28">
              <w:rPr>
                <w:sz w:val="18"/>
                <w:szCs w:val="18"/>
              </w:rPr>
              <w:t>4.2</w:t>
            </w:r>
          </w:p>
        </w:tc>
        <w:tc>
          <w:tcPr>
            <w:tcW w:w="1134" w:type="dxa"/>
            <w:tcBorders>
              <w:top w:val="nil"/>
              <w:left w:val="nil"/>
              <w:bottom w:val="nil"/>
              <w:right w:val="nil"/>
            </w:tcBorders>
            <w:shd w:val="clear" w:color="000000" w:fill="CAE7F3"/>
            <w:noWrap/>
            <w:hideMark/>
          </w:tcPr>
          <w:p w14:paraId="3ABA822B" w14:textId="70D9E991" w:rsidR="00865D28" w:rsidRPr="00865D28" w:rsidRDefault="00865D28" w:rsidP="00865D28">
            <w:pPr>
              <w:spacing w:after="0" w:line="480" w:lineRule="auto"/>
              <w:ind w:left="0"/>
              <w:jc w:val="right"/>
              <w:rPr>
                <w:rFonts w:eastAsia="Times New Roman" w:cs="Arial"/>
                <w:sz w:val="18"/>
                <w:szCs w:val="18"/>
                <w:lang w:eastAsia="en-AU"/>
              </w:rPr>
            </w:pPr>
            <w:r w:rsidRPr="00865D28">
              <w:rPr>
                <w:sz w:val="18"/>
                <w:szCs w:val="18"/>
              </w:rPr>
              <w:t>5.7</w:t>
            </w:r>
          </w:p>
        </w:tc>
        <w:tc>
          <w:tcPr>
            <w:tcW w:w="992" w:type="dxa"/>
            <w:tcBorders>
              <w:top w:val="nil"/>
              <w:left w:val="nil"/>
              <w:bottom w:val="nil"/>
              <w:right w:val="nil"/>
            </w:tcBorders>
            <w:shd w:val="clear" w:color="000000" w:fill="CAE7F3"/>
            <w:noWrap/>
            <w:hideMark/>
          </w:tcPr>
          <w:p w14:paraId="20207248" w14:textId="700C7D59" w:rsidR="00865D28" w:rsidRPr="00865D28" w:rsidRDefault="00865D28" w:rsidP="00865D28">
            <w:pPr>
              <w:spacing w:after="0" w:line="480" w:lineRule="auto"/>
              <w:ind w:left="0"/>
              <w:jc w:val="right"/>
              <w:rPr>
                <w:rFonts w:eastAsia="Times New Roman" w:cs="Arial"/>
                <w:sz w:val="18"/>
                <w:szCs w:val="18"/>
                <w:lang w:eastAsia="en-AU"/>
              </w:rPr>
            </w:pPr>
            <w:r w:rsidRPr="00865D28">
              <w:rPr>
                <w:sz w:val="18"/>
                <w:szCs w:val="18"/>
              </w:rPr>
              <w:t>10.0</w:t>
            </w:r>
          </w:p>
        </w:tc>
      </w:tr>
      <w:tr w:rsidR="00865D28" w:rsidRPr="004E7952" w14:paraId="663A7764" w14:textId="77777777" w:rsidTr="00153764">
        <w:trPr>
          <w:trHeight w:val="255"/>
        </w:trPr>
        <w:tc>
          <w:tcPr>
            <w:tcW w:w="3119" w:type="dxa"/>
            <w:tcBorders>
              <w:top w:val="nil"/>
              <w:left w:val="nil"/>
              <w:bottom w:val="single" w:sz="8" w:space="0" w:color="FFFFFF"/>
              <w:right w:val="nil"/>
            </w:tcBorders>
            <w:shd w:val="clear" w:color="000000" w:fill="CAE7F3"/>
            <w:noWrap/>
            <w:hideMark/>
          </w:tcPr>
          <w:p w14:paraId="2C859084" w14:textId="4FE2874D" w:rsidR="00865D28" w:rsidRPr="00865D28" w:rsidRDefault="00865D28" w:rsidP="00865D28">
            <w:pPr>
              <w:spacing w:after="0" w:line="360" w:lineRule="auto"/>
              <w:ind w:left="0"/>
              <w:jc w:val="left"/>
              <w:rPr>
                <w:rFonts w:eastAsia="Times New Roman" w:cs="Arial"/>
                <w:b/>
                <w:bCs/>
                <w:sz w:val="18"/>
                <w:szCs w:val="18"/>
                <w:lang w:eastAsia="en-AU"/>
              </w:rPr>
            </w:pPr>
            <w:r w:rsidRPr="00865D28">
              <w:rPr>
                <w:b/>
                <w:sz w:val="18"/>
                <w:szCs w:val="18"/>
              </w:rPr>
              <w:t>Total</w:t>
            </w:r>
          </w:p>
        </w:tc>
        <w:tc>
          <w:tcPr>
            <w:tcW w:w="709" w:type="dxa"/>
            <w:tcBorders>
              <w:top w:val="nil"/>
              <w:left w:val="nil"/>
              <w:bottom w:val="nil"/>
              <w:right w:val="nil"/>
            </w:tcBorders>
            <w:shd w:val="clear" w:color="000000" w:fill="CAE7F3"/>
            <w:noWrap/>
            <w:hideMark/>
          </w:tcPr>
          <w:p w14:paraId="1B05D300" w14:textId="51E9B861" w:rsidR="00865D28" w:rsidRPr="00865D28" w:rsidRDefault="00865D28" w:rsidP="00865D28">
            <w:pPr>
              <w:spacing w:after="0" w:line="360" w:lineRule="auto"/>
              <w:ind w:left="0"/>
              <w:jc w:val="right"/>
              <w:rPr>
                <w:rFonts w:eastAsia="Times New Roman" w:cs="Arial"/>
                <w:b/>
                <w:bCs/>
                <w:sz w:val="18"/>
                <w:szCs w:val="18"/>
                <w:lang w:eastAsia="en-AU"/>
              </w:rPr>
            </w:pPr>
            <w:r w:rsidRPr="00865D28">
              <w:rPr>
                <w:b/>
                <w:sz w:val="18"/>
                <w:szCs w:val="18"/>
              </w:rPr>
              <w:t>378.7</w:t>
            </w:r>
          </w:p>
        </w:tc>
        <w:tc>
          <w:tcPr>
            <w:tcW w:w="992" w:type="dxa"/>
            <w:tcBorders>
              <w:top w:val="nil"/>
              <w:left w:val="nil"/>
              <w:bottom w:val="nil"/>
              <w:right w:val="nil"/>
            </w:tcBorders>
            <w:shd w:val="clear" w:color="000000" w:fill="CAE7F3"/>
            <w:noWrap/>
            <w:hideMark/>
          </w:tcPr>
          <w:p w14:paraId="497C5F92" w14:textId="288471A8" w:rsidR="00865D28" w:rsidRPr="00865D28" w:rsidRDefault="00865D28" w:rsidP="00865D28">
            <w:pPr>
              <w:spacing w:after="0" w:line="360" w:lineRule="auto"/>
              <w:ind w:left="0"/>
              <w:jc w:val="right"/>
              <w:rPr>
                <w:rFonts w:eastAsia="Times New Roman" w:cs="Arial"/>
                <w:b/>
                <w:bCs/>
                <w:sz w:val="18"/>
                <w:szCs w:val="18"/>
                <w:lang w:eastAsia="en-AU"/>
              </w:rPr>
            </w:pPr>
            <w:r w:rsidRPr="00865D28">
              <w:rPr>
                <w:b/>
                <w:sz w:val="18"/>
                <w:szCs w:val="18"/>
              </w:rPr>
              <w:t>100.0</w:t>
            </w:r>
          </w:p>
        </w:tc>
        <w:tc>
          <w:tcPr>
            <w:tcW w:w="1134" w:type="dxa"/>
            <w:tcBorders>
              <w:top w:val="nil"/>
              <w:left w:val="nil"/>
              <w:bottom w:val="nil"/>
              <w:right w:val="nil"/>
            </w:tcBorders>
            <w:shd w:val="clear" w:color="000000" w:fill="CAE7F3"/>
            <w:noWrap/>
            <w:hideMark/>
          </w:tcPr>
          <w:p w14:paraId="04FDC93B" w14:textId="019A1737" w:rsidR="00865D28" w:rsidRPr="00865D28" w:rsidRDefault="00865D28" w:rsidP="00865D28">
            <w:pPr>
              <w:spacing w:after="0" w:line="360" w:lineRule="auto"/>
              <w:ind w:left="0"/>
              <w:jc w:val="right"/>
              <w:rPr>
                <w:rFonts w:eastAsia="Times New Roman" w:cs="Arial"/>
                <w:b/>
                <w:bCs/>
                <w:sz w:val="18"/>
                <w:szCs w:val="18"/>
                <w:lang w:eastAsia="en-AU"/>
              </w:rPr>
            </w:pPr>
            <w:r w:rsidRPr="00865D28">
              <w:rPr>
                <w:b/>
                <w:sz w:val="18"/>
                <w:szCs w:val="18"/>
              </w:rPr>
              <w:t>5.3</w:t>
            </w:r>
          </w:p>
        </w:tc>
        <w:tc>
          <w:tcPr>
            <w:tcW w:w="992" w:type="dxa"/>
            <w:tcBorders>
              <w:top w:val="nil"/>
              <w:left w:val="nil"/>
              <w:bottom w:val="nil"/>
              <w:right w:val="nil"/>
            </w:tcBorders>
            <w:shd w:val="clear" w:color="000000" w:fill="CAE7F3"/>
            <w:noWrap/>
            <w:hideMark/>
          </w:tcPr>
          <w:p w14:paraId="171D9DC6" w14:textId="3CAD6836" w:rsidR="00865D28" w:rsidRPr="00865D28" w:rsidRDefault="00865D28" w:rsidP="00865D28">
            <w:pPr>
              <w:spacing w:after="0" w:line="360" w:lineRule="auto"/>
              <w:ind w:left="0"/>
              <w:jc w:val="right"/>
              <w:rPr>
                <w:rFonts w:eastAsia="Times New Roman" w:cs="Arial"/>
                <w:b/>
                <w:bCs/>
                <w:sz w:val="18"/>
                <w:szCs w:val="18"/>
                <w:lang w:eastAsia="en-AU"/>
              </w:rPr>
            </w:pPr>
            <w:r w:rsidRPr="00865D28">
              <w:rPr>
                <w:b/>
                <w:sz w:val="18"/>
                <w:szCs w:val="18"/>
              </w:rPr>
              <w:t>3.2</w:t>
            </w:r>
          </w:p>
        </w:tc>
      </w:tr>
    </w:tbl>
    <w:bookmarkEnd w:id="66"/>
    <w:bookmarkEnd w:id="67"/>
    <w:p w14:paraId="6C031596" w14:textId="5AF2AAA4" w:rsidR="001F4600" w:rsidRPr="001F1F3C" w:rsidRDefault="001F4600" w:rsidP="001F4600">
      <w:pPr>
        <w:pStyle w:val="Source"/>
        <w:rPr>
          <w:color w:val="595A5B" w:themeColor="text1"/>
        </w:rPr>
      </w:pPr>
      <w:r w:rsidRPr="001F1F3C">
        <w:rPr>
          <w:color w:val="595A5B" w:themeColor="text1"/>
        </w:rPr>
        <w:t xml:space="preserve">Source: </w:t>
      </w:r>
      <w:r w:rsidRPr="001F1F3C">
        <w:rPr>
          <w:color w:val="595A5B" w:themeColor="text1"/>
          <w:szCs w:val="16"/>
        </w:rPr>
        <w:t xml:space="preserve">Department of </w:t>
      </w:r>
      <w:r w:rsidR="005A4AAD" w:rsidRPr="001F1F3C">
        <w:rPr>
          <w:color w:val="595A5B" w:themeColor="text1"/>
          <w:szCs w:val="16"/>
        </w:rPr>
        <w:t>the Environment and Energy</w:t>
      </w:r>
      <w:r w:rsidRPr="001F1F3C">
        <w:rPr>
          <w:color w:val="595A5B" w:themeColor="text1"/>
          <w:szCs w:val="16"/>
        </w:rPr>
        <w:t xml:space="preserve"> (</w:t>
      </w:r>
      <w:r w:rsidR="003F2CCE" w:rsidRPr="001F1F3C">
        <w:rPr>
          <w:color w:val="595A5B" w:themeColor="text1"/>
          <w:szCs w:val="16"/>
        </w:rPr>
        <w:t>2018</w:t>
      </w:r>
      <w:r w:rsidRPr="001F1F3C">
        <w:rPr>
          <w:color w:val="595A5B" w:themeColor="text1"/>
          <w:szCs w:val="16"/>
        </w:rPr>
        <w:t xml:space="preserve">) </w:t>
      </w:r>
      <w:r w:rsidRPr="001F1F3C">
        <w:rPr>
          <w:i/>
          <w:color w:val="595A5B" w:themeColor="text1"/>
          <w:szCs w:val="16"/>
        </w:rPr>
        <w:t>Australian Energy Statistics</w:t>
      </w:r>
      <w:r w:rsidRPr="001F1F3C">
        <w:rPr>
          <w:color w:val="595A5B" w:themeColor="text1"/>
          <w:szCs w:val="16"/>
        </w:rPr>
        <w:t>, Tables D, F,</w:t>
      </w:r>
      <w:r w:rsidR="00993493" w:rsidRPr="001F1F3C">
        <w:rPr>
          <w:color w:val="595A5B" w:themeColor="text1"/>
          <w:szCs w:val="16"/>
        </w:rPr>
        <w:t xml:space="preserve"> O</w:t>
      </w:r>
    </w:p>
    <w:p w14:paraId="44B08546" w14:textId="77777777" w:rsidR="001F4600" w:rsidRPr="001F1F3C" w:rsidRDefault="00942385" w:rsidP="00942385">
      <w:pPr>
        <w:pStyle w:val="Heading2"/>
        <w:spacing w:before="0"/>
      </w:pPr>
      <w:bookmarkStart w:id="68" w:name="_Toc392157283"/>
      <w:bookmarkStart w:id="69" w:name="_Toc427614396"/>
      <w:bookmarkStart w:id="70" w:name="_Toc428130030"/>
      <w:bookmarkStart w:id="71" w:name="_Toc522197024"/>
      <w:bookmarkStart w:id="72" w:name="_Toc522633187"/>
      <w:r w:rsidRPr="001F1F3C">
        <w:t>Energy consumption, b</w:t>
      </w:r>
      <w:r w:rsidR="001F4600" w:rsidRPr="001F1F3C">
        <w:t xml:space="preserve">y </w:t>
      </w:r>
      <w:bookmarkEnd w:id="68"/>
      <w:bookmarkEnd w:id="69"/>
      <w:bookmarkEnd w:id="70"/>
      <w:r w:rsidR="001F4600" w:rsidRPr="001F1F3C">
        <w:t>sector</w:t>
      </w:r>
      <w:bookmarkEnd w:id="71"/>
      <w:bookmarkEnd w:id="72"/>
    </w:p>
    <w:p w14:paraId="42F5AC77" w14:textId="02B91814" w:rsidR="001F4600" w:rsidRDefault="001F4600" w:rsidP="001F4600">
      <w:pPr>
        <w:pStyle w:val="BodyText"/>
      </w:pPr>
      <w:r w:rsidRPr="001F1F3C">
        <w:t xml:space="preserve">The electricity supply, transport and manufacturing sectors accounted for </w:t>
      </w:r>
      <w:r w:rsidR="00AD60EF">
        <w:t xml:space="preserve">nearly </w:t>
      </w:r>
      <w:r w:rsidRPr="001F1F3C">
        <w:t xml:space="preserve">three-quarters of Australian energy consumption in </w:t>
      </w:r>
      <w:r w:rsidR="003F2CCE" w:rsidRPr="001F1F3C">
        <w:t>2016–17</w:t>
      </w:r>
      <w:r w:rsidRPr="001F1F3C">
        <w:t xml:space="preserve"> (Table </w:t>
      </w:r>
      <w:r w:rsidR="00823AE6">
        <w:t>2</w:t>
      </w:r>
      <w:r w:rsidRPr="001F1F3C">
        <w:t xml:space="preserve">.3). </w:t>
      </w:r>
    </w:p>
    <w:p w14:paraId="55D4A896" w14:textId="53C15E70" w:rsidR="001A1C0D" w:rsidRPr="001F1F3C" w:rsidRDefault="001A1C0D" w:rsidP="001A1C0D">
      <w:pPr>
        <w:pStyle w:val="BodyText"/>
      </w:pPr>
      <w:r w:rsidRPr="001F1F3C">
        <w:t>The electricity supply sector accounted for 2</w:t>
      </w:r>
      <w:r>
        <w:t>8</w:t>
      </w:r>
      <w:r w:rsidR="00C36073">
        <w:t xml:space="preserve"> per cent of </w:t>
      </w:r>
      <w:r w:rsidRPr="001F1F3C">
        <w:t xml:space="preserve">energy consumption in 2016–17 (Table </w:t>
      </w:r>
      <w:r>
        <w:t>2</w:t>
      </w:r>
      <w:r w:rsidRPr="001F1F3C">
        <w:t xml:space="preserve">.3). Energy consumption in this sector (including fuel inputs to electricity generation, own use and losses) </w:t>
      </w:r>
      <w:r>
        <w:t xml:space="preserve">declined </w:t>
      </w:r>
      <w:r w:rsidRPr="001F1F3C">
        <w:t xml:space="preserve">by </w:t>
      </w:r>
      <w:r>
        <w:t>2</w:t>
      </w:r>
      <w:r w:rsidRPr="001F1F3C">
        <w:t> per cent during this period</w:t>
      </w:r>
      <w:r w:rsidR="00C36073">
        <w:t>,</w:t>
      </w:r>
      <w:r>
        <w:t xml:space="preserve"> </w:t>
      </w:r>
      <w:r w:rsidR="00B64CA5">
        <w:t>despite</w:t>
      </w:r>
      <w:r>
        <w:t xml:space="preserve"> slightly higher </w:t>
      </w:r>
      <w:r w:rsidR="00B64CA5">
        <w:t>electricity</w:t>
      </w:r>
      <w:r>
        <w:t xml:space="preserve"> output. This </w:t>
      </w:r>
      <w:r w:rsidR="00B64CA5">
        <w:t>reflects</w:t>
      </w:r>
      <w:r w:rsidR="00C36073">
        <w:t xml:space="preserve"> reduced brown coal-</w:t>
      </w:r>
      <w:r>
        <w:t>fired electricity generation</w:t>
      </w:r>
      <w:r w:rsidRPr="001F1F3C">
        <w:t xml:space="preserve"> </w:t>
      </w:r>
      <w:r>
        <w:t>and an increase in renewable generation.</w:t>
      </w:r>
    </w:p>
    <w:p w14:paraId="5A54682B" w14:textId="2B76EE61" w:rsidR="001A1C0D" w:rsidRPr="001F1F3C" w:rsidRDefault="001A1C0D" w:rsidP="001A1C0D">
      <w:pPr>
        <w:pStyle w:val="BodyText"/>
      </w:pPr>
      <w:r w:rsidRPr="001F1F3C">
        <w:t xml:space="preserve">When measuring primary energy consumption, </w:t>
      </w:r>
      <w:r>
        <w:t xml:space="preserve">a change </w:t>
      </w:r>
      <w:r w:rsidR="00C36073">
        <w:t>in coal-f</w:t>
      </w:r>
      <w:r w:rsidRPr="001F1F3C">
        <w:t xml:space="preserve">ired electricity generation has a greater effect than </w:t>
      </w:r>
      <w:r>
        <w:t xml:space="preserve">a change </w:t>
      </w:r>
      <w:r w:rsidRPr="001F1F3C">
        <w:t>in</w:t>
      </w:r>
      <w:r w:rsidR="00946319">
        <w:t xml:space="preserve"> some</w:t>
      </w:r>
      <w:r w:rsidRPr="001F1F3C">
        <w:t xml:space="preserve"> renewable generation</w:t>
      </w:r>
      <w:r w:rsidR="00946319">
        <w:t xml:space="preserve"> such as wind, solar and hydro</w:t>
      </w:r>
      <w:r w:rsidRPr="001F1F3C">
        <w:t xml:space="preserve">, because </w:t>
      </w:r>
      <w:r w:rsidR="00946319">
        <w:t xml:space="preserve">these renewables are only </w:t>
      </w:r>
      <w:r w:rsidR="00941B67">
        <w:t>measur</w:t>
      </w:r>
      <w:r w:rsidR="00946319">
        <w:t>ed when turned into electricity</w:t>
      </w:r>
      <w:r w:rsidRPr="001F1F3C">
        <w:t>. For example, if wind generation rises by 1,000 gigawatt hours, then energy consumption would rise by 3.6 petajoules, because the electricity</w:t>
      </w:r>
      <w:r w:rsidR="00C36073">
        <w:t xml:space="preserve"> generated is measured. If coal-</w:t>
      </w:r>
      <w:r w:rsidRPr="001F1F3C">
        <w:t xml:space="preserve">fired generation rises by 1,000 gigawatt hours, then energy consumption would increase by the amount of coal consumed to generate the electricity, which would be around 10 petajoules (assuming an efficiency of 35 per cent). </w:t>
      </w:r>
    </w:p>
    <w:p w14:paraId="72C15207" w14:textId="338EC7C2" w:rsidR="00C36073" w:rsidRDefault="00C36073" w:rsidP="00C36073">
      <w:pPr>
        <w:pStyle w:val="BodyText"/>
      </w:pPr>
      <w:r>
        <w:t>Transport</w:t>
      </w:r>
      <w:r w:rsidRPr="001F1F3C">
        <w:t xml:space="preserve"> </w:t>
      </w:r>
      <w:r>
        <w:t xml:space="preserve">also </w:t>
      </w:r>
      <w:r w:rsidRPr="001F1F3C">
        <w:t>accounted for 2</w:t>
      </w:r>
      <w:r>
        <w:t>8</w:t>
      </w:r>
      <w:r w:rsidRPr="001F1F3C">
        <w:t xml:space="preserve"> per cent of Australian energy consumption in 2016–17. Increased energy use </w:t>
      </w:r>
      <w:r>
        <w:t xml:space="preserve">across all forms of transport </w:t>
      </w:r>
      <w:r w:rsidRPr="001F1F3C">
        <w:t xml:space="preserve">resulted in a </w:t>
      </w:r>
      <w:r>
        <w:t>3 per </w:t>
      </w:r>
      <w:r w:rsidRPr="001F1F3C">
        <w:t xml:space="preserve">cent increase in transport </w:t>
      </w:r>
      <w:r>
        <w:t>energy consumption in 2016–17</w:t>
      </w:r>
      <w:r w:rsidRPr="001F1F3C">
        <w:t xml:space="preserve"> (Table </w:t>
      </w:r>
      <w:r>
        <w:t>2</w:t>
      </w:r>
      <w:r w:rsidRPr="001F1F3C">
        <w:t xml:space="preserve">.4). </w:t>
      </w:r>
      <w:r>
        <w:t xml:space="preserve">Most of the </w:t>
      </w:r>
      <w:r w:rsidR="004C41E0">
        <w:t xml:space="preserve">growth </w:t>
      </w:r>
      <w:r>
        <w:t>was in diesel consumption</w:t>
      </w:r>
      <w:r>
        <w:rPr>
          <w:color w:val="595A5B" w:themeColor="text1"/>
          <w:szCs w:val="20"/>
        </w:rPr>
        <w:t xml:space="preserve"> for passenger and freight use, supported by </w:t>
      </w:r>
      <w:r w:rsidR="00941B67">
        <w:rPr>
          <w:color w:val="595A5B" w:themeColor="text1"/>
          <w:szCs w:val="20"/>
        </w:rPr>
        <w:t xml:space="preserve">steady </w:t>
      </w:r>
      <w:r>
        <w:rPr>
          <w:color w:val="595A5B" w:themeColor="text1"/>
          <w:szCs w:val="20"/>
        </w:rPr>
        <w:t xml:space="preserve">economic and population growth, and switching to diesel </w:t>
      </w:r>
      <w:r>
        <w:rPr>
          <w:color w:val="595A5B" w:themeColor="text1"/>
          <w:szCs w:val="20"/>
        </w:rPr>
        <w:lastRenderedPageBreak/>
        <w:t xml:space="preserve">vehicles (Figure 2.5). </w:t>
      </w:r>
      <w:r w:rsidRPr="00E90E11">
        <w:t xml:space="preserve">The diesel vehicle fleet has doubled </w:t>
      </w:r>
      <w:r>
        <w:t xml:space="preserve">since 2010, </w:t>
      </w:r>
      <w:r w:rsidRPr="00E90E11">
        <w:t>to 4.5</w:t>
      </w:r>
      <w:r w:rsidR="00941B67">
        <w:t> </w:t>
      </w:r>
      <w:r w:rsidRPr="00E90E11">
        <w:t>million vehicles in 2018</w:t>
      </w:r>
      <w:r w:rsidR="00941B67">
        <w:t>, while petrol vehicle registrations increased by only 7 per cent over the same period (ABS 2018a)</w:t>
      </w:r>
      <w:r>
        <w:t>.</w:t>
      </w:r>
      <w:r w:rsidRPr="00B64CA5">
        <w:t xml:space="preserve"> </w:t>
      </w:r>
      <w:r w:rsidRPr="001F1F3C">
        <w:t>Road transport accounted for nearly three-quarters of</w:t>
      </w:r>
      <w:r w:rsidR="00DC586C">
        <w:t xml:space="preserve"> transport</w:t>
      </w:r>
      <w:r w:rsidRPr="001F1F3C">
        <w:t xml:space="preserve"> energy consumption </w:t>
      </w:r>
      <w:r w:rsidR="00DC586C">
        <w:t>in 2016–17.</w:t>
      </w:r>
    </w:p>
    <w:p w14:paraId="3028D140" w14:textId="1E5CECA3" w:rsidR="009203C3" w:rsidRPr="001F1F3C" w:rsidRDefault="000678FE" w:rsidP="00C36073">
      <w:pPr>
        <w:pStyle w:val="Caption"/>
      </w:pPr>
      <w:bookmarkStart w:id="73" w:name="_Toc522199772"/>
      <w:bookmarkStart w:id="74" w:name="_Toc522635715"/>
      <w:r>
        <w:t xml:space="preserve">Table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rsidR="00C1400E">
        <w:t>.</w:t>
      </w:r>
      <w:r w:rsidR="00941B67">
        <w:rPr>
          <w:noProof/>
        </w:rPr>
        <w:fldChar w:fldCharType="begin"/>
      </w:r>
      <w:r w:rsidR="00941B67">
        <w:rPr>
          <w:noProof/>
        </w:rPr>
        <w:instrText xml:space="preserve"> SEQ Table \* ARABIC \s 1 </w:instrText>
      </w:r>
      <w:r w:rsidR="00941B67">
        <w:rPr>
          <w:noProof/>
        </w:rPr>
        <w:fldChar w:fldCharType="separate"/>
      </w:r>
      <w:r w:rsidR="00D72ABB">
        <w:rPr>
          <w:noProof/>
        </w:rPr>
        <w:t>3</w:t>
      </w:r>
      <w:r w:rsidR="00941B67">
        <w:rPr>
          <w:noProof/>
        </w:rPr>
        <w:fldChar w:fldCharType="end"/>
      </w:r>
      <w:r>
        <w:t xml:space="preserve">: </w:t>
      </w:r>
      <w:r w:rsidR="009203C3" w:rsidRPr="001F1F3C">
        <w:t>Australian energy consumption, by industry</w:t>
      </w:r>
      <w:bookmarkEnd w:id="73"/>
      <w:bookmarkEnd w:id="74"/>
    </w:p>
    <w:tbl>
      <w:tblPr>
        <w:tblW w:w="6894" w:type="dxa"/>
        <w:tblLook w:val="04A0" w:firstRow="1" w:lastRow="0" w:firstColumn="1" w:lastColumn="0" w:noHBand="0" w:noVBand="1"/>
      </w:tblPr>
      <w:tblGrid>
        <w:gridCol w:w="2089"/>
        <w:gridCol w:w="886"/>
        <w:gridCol w:w="1223"/>
        <w:gridCol w:w="278"/>
        <w:gridCol w:w="1226"/>
        <w:gridCol w:w="1192"/>
      </w:tblGrid>
      <w:tr w:rsidR="009203C3" w:rsidRPr="001F1F3C" w14:paraId="3E67AC05" w14:textId="77777777" w:rsidTr="00FB0286">
        <w:trPr>
          <w:trHeight w:val="285"/>
        </w:trPr>
        <w:tc>
          <w:tcPr>
            <w:tcW w:w="2089" w:type="dxa"/>
            <w:tcBorders>
              <w:top w:val="nil"/>
              <w:left w:val="nil"/>
              <w:bottom w:val="nil"/>
              <w:right w:val="nil"/>
            </w:tcBorders>
            <w:shd w:val="clear" w:color="000000" w:fill="22789A"/>
            <w:noWrap/>
            <w:vAlign w:val="bottom"/>
            <w:hideMark/>
          </w:tcPr>
          <w:p w14:paraId="28F03E52" w14:textId="77777777" w:rsidR="009203C3" w:rsidRPr="001F1F3C" w:rsidRDefault="009203C3" w:rsidP="00C36073">
            <w:pPr>
              <w:keepNext/>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109" w:type="dxa"/>
            <w:gridSpan w:val="2"/>
            <w:tcBorders>
              <w:top w:val="nil"/>
              <w:left w:val="nil"/>
              <w:bottom w:val="nil"/>
              <w:right w:val="nil"/>
            </w:tcBorders>
            <w:shd w:val="clear" w:color="000000" w:fill="22789A"/>
            <w:noWrap/>
            <w:vAlign w:val="center"/>
            <w:hideMark/>
          </w:tcPr>
          <w:p w14:paraId="2393A0DD" w14:textId="77777777" w:rsidR="009203C3" w:rsidRPr="001F1F3C" w:rsidRDefault="009203C3" w:rsidP="00C36073">
            <w:pPr>
              <w:keepNext/>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2016–17</w:t>
            </w:r>
          </w:p>
        </w:tc>
        <w:tc>
          <w:tcPr>
            <w:tcW w:w="278" w:type="dxa"/>
            <w:tcBorders>
              <w:top w:val="nil"/>
              <w:left w:val="nil"/>
              <w:bottom w:val="nil"/>
              <w:right w:val="nil"/>
            </w:tcBorders>
            <w:shd w:val="clear" w:color="000000" w:fill="22789A"/>
            <w:noWrap/>
            <w:vAlign w:val="bottom"/>
            <w:hideMark/>
          </w:tcPr>
          <w:p w14:paraId="718F064A" w14:textId="77777777" w:rsidR="009203C3" w:rsidRPr="001F1F3C" w:rsidRDefault="009203C3" w:rsidP="00C36073">
            <w:pPr>
              <w:keepNext/>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418" w:type="dxa"/>
            <w:gridSpan w:val="2"/>
            <w:tcBorders>
              <w:top w:val="nil"/>
              <w:left w:val="nil"/>
              <w:bottom w:val="nil"/>
              <w:right w:val="nil"/>
            </w:tcBorders>
            <w:shd w:val="clear" w:color="000000" w:fill="22789A"/>
            <w:noWrap/>
            <w:vAlign w:val="center"/>
            <w:hideMark/>
          </w:tcPr>
          <w:p w14:paraId="16F13414" w14:textId="77777777" w:rsidR="009203C3" w:rsidRPr="001F1F3C" w:rsidRDefault="009203C3" w:rsidP="00C36073">
            <w:pPr>
              <w:keepNext/>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Average annual growth</w:t>
            </w:r>
          </w:p>
        </w:tc>
      </w:tr>
      <w:tr w:rsidR="009203C3" w:rsidRPr="001F1F3C" w14:paraId="02580328" w14:textId="77777777" w:rsidTr="00FB0286">
        <w:trPr>
          <w:trHeight w:val="240"/>
        </w:trPr>
        <w:tc>
          <w:tcPr>
            <w:tcW w:w="2089" w:type="dxa"/>
            <w:vMerge w:val="restart"/>
            <w:tcBorders>
              <w:top w:val="nil"/>
              <w:left w:val="nil"/>
              <w:bottom w:val="nil"/>
              <w:right w:val="nil"/>
            </w:tcBorders>
            <w:shd w:val="clear" w:color="000000" w:fill="CAE7F3"/>
            <w:noWrap/>
            <w:vAlign w:val="bottom"/>
            <w:hideMark/>
          </w:tcPr>
          <w:p w14:paraId="2A3F23F8" w14:textId="77777777" w:rsidR="009203C3" w:rsidRPr="001F1F3C" w:rsidRDefault="009203C3" w:rsidP="00FB0286">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886" w:type="dxa"/>
            <w:vMerge w:val="restart"/>
            <w:tcBorders>
              <w:top w:val="nil"/>
              <w:left w:val="nil"/>
              <w:bottom w:val="nil"/>
              <w:right w:val="nil"/>
            </w:tcBorders>
            <w:shd w:val="clear" w:color="000000" w:fill="CAE7F3"/>
            <w:noWrap/>
            <w:vAlign w:val="center"/>
            <w:hideMark/>
          </w:tcPr>
          <w:p w14:paraId="5353A700" w14:textId="77777777" w:rsidR="009203C3" w:rsidRPr="001F1F3C" w:rsidRDefault="009203C3" w:rsidP="00FB0286">
            <w:pPr>
              <w:spacing w:after="0" w:line="360" w:lineRule="auto"/>
              <w:ind w:left="0"/>
              <w:jc w:val="right"/>
              <w:rPr>
                <w:rFonts w:eastAsia="Times New Roman" w:cs="Arial"/>
                <w:sz w:val="18"/>
                <w:szCs w:val="18"/>
                <w:lang w:eastAsia="en-AU"/>
              </w:rPr>
            </w:pPr>
            <w:r w:rsidRPr="001F1F3C">
              <w:rPr>
                <w:rFonts w:eastAsia="Times New Roman" w:cs="Arial"/>
                <w:color w:val="595A5B" w:themeColor="accent5"/>
                <w:sz w:val="18"/>
                <w:szCs w:val="18"/>
                <w:lang w:eastAsia="en-AU"/>
              </w:rPr>
              <w:t>PJ</w:t>
            </w:r>
          </w:p>
        </w:tc>
        <w:tc>
          <w:tcPr>
            <w:tcW w:w="1223" w:type="dxa"/>
            <w:tcBorders>
              <w:top w:val="nil"/>
              <w:left w:val="nil"/>
              <w:bottom w:val="nil"/>
              <w:right w:val="nil"/>
            </w:tcBorders>
            <w:shd w:val="clear" w:color="000000" w:fill="CAE7F3"/>
            <w:noWrap/>
            <w:vAlign w:val="center"/>
            <w:hideMark/>
          </w:tcPr>
          <w:p w14:paraId="4B3A96E5" w14:textId="77777777" w:rsidR="009203C3" w:rsidRPr="001F1F3C" w:rsidRDefault="009203C3" w:rsidP="00FB0286">
            <w:pPr>
              <w:spacing w:after="0" w:line="360" w:lineRule="auto"/>
              <w:ind w:left="0"/>
              <w:jc w:val="right"/>
              <w:rPr>
                <w:rFonts w:eastAsia="Times New Roman" w:cs="Arial"/>
                <w:sz w:val="18"/>
                <w:szCs w:val="18"/>
                <w:lang w:eastAsia="en-AU"/>
              </w:rPr>
            </w:pPr>
            <w:r w:rsidRPr="001F1F3C">
              <w:rPr>
                <w:rFonts w:eastAsia="Times New Roman" w:cs="Arial"/>
                <w:color w:val="595A5B" w:themeColor="accent5"/>
                <w:sz w:val="18"/>
                <w:szCs w:val="18"/>
                <w:lang w:eastAsia="en-AU"/>
              </w:rPr>
              <w:t>share</w:t>
            </w:r>
          </w:p>
        </w:tc>
        <w:tc>
          <w:tcPr>
            <w:tcW w:w="278" w:type="dxa"/>
            <w:vMerge w:val="restart"/>
            <w:tcBorders>
              <w:top w:val="nil"/>
              <w:left w:val="nil"/>
              <w:bottom w:val="nil"/>
              <w:right w:val="nil"/>
            </w:tcBorders>
            <w:shd w:val="clear" w:color="000000" w:fill="CAE7F3"/>
            <w:noWrap/>
            <w:vAlign w:val="bottom"/>
            <w:hideMark/>
          </w:tcPr>
          <w:p w14:paraId="21BBBE9D" w14:textId="77777777" w:rsidR="009203C3" w:rsidRPr="001F1F3C" w:rsidRDefault="009203C3" w:rsidP="00FB0286">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1226" w:type="dxa"/>
            <w:tcBorders>
              <w:top w:val="nil"/>
              <w:left w:val="nil"/>
              <w:bottom w:val="nil"/>
              <w:right w:val="nil"/>
            </w:tcBorders>
            <w:shd w:val="clear" w:color="000000" w:fill="CAE7F3"/>
            <w:noWrap/>
            <w:vAlign w:val="center"/>
            <w:hideMark/>
          </w:tcPr>
          <w:p w14:paraId="3A8C4455" w14:textId="77777777" w:rsidR="009203C3" w:rsidRPr="001F1F3C" w:rsidRDefault="009203C3" w:rsidP="00FB0286">
            <w:pPr>
              <w:spacing w:after="0" w:line="360" w:lineRule="auto"/>
              <w:ind w:left="0"/>
              <w:jc w:val="right"/>
              <w:rPr>
                <w:rFonts w:eastAsia="Times New Roman" w:cs="Arial"/>
                <w:sz w:val="18"/>
                <w:szCs w:val="18"/>
                <w:lang w:eastAsia="en-AU"/>
              </w:rPr>
            </w:pPr>
            <w:r w:rsidRPr="001F1F3C">
              <w:rPr>
                <w:rFonts w:eastAsia="Times New Roman" w:cs="Arial"/>
                <w:color w:val="595A5B" w:themeColor="accent5"/>
                <w:sz w:val="18"/>
                <w:szCs w:val="18"/>
                <w:lang w:eastAsia="en-AU"/>
              </w:rPr>
              <w:t>2016–17</w:t>
            </w:r>
          </w:p>
        </w:tc>
        <w:tc>
          <w:tcPr>
            <w:tcW w:w="1192" w:type="dxa"/>
            <w:tcBorders>
              <w:top w:val="nil"/>
              <w:left w:val="nil"/>
              <w:bottom w:val="nil"/>
              <w:right w:val="nil"/>
            </w:tcBorders>
            <w:shd w:val="clear" w:color="000000" w:fill="CAE7F3"/>
            <w:noWrap/>
            <w:vAlign w:val="center"/>
            <w:hideMark/>
          </w:tcPr>
          <w:p w14:paraId="32264CAB" w14:textId="77777777" w:rsidR="009203C3" w:rsidRPr="001F1F3C" w:rsidRDefault="009203C3" w:rsidP="00FB0286">
            <w:pPr>
              <w:spacing w:after="0" w:line="360" w:lineRule="auto"/>
              <w:ind w:left="0"/>
              <w:jc w:val="right"/>
              <w:rPr>
                <w:rFonts w:eastAsia="Times New Roman" w:cs="Arial"/>
                <w:sz w:val="18"/>
                <w:szCs w:val="18"/>
                <w:lang w:eastAsia="en-AU"/>
              </w:rPr>
            </w:pPr>
            <w:r w:rsidRPr="001F1F3C">
              <w:rPr>
                <w:rFonts w:eastAsia="Times New Roman" w:cs="Arial"/>
                <w:color w:val="595A5B" w:themeColor="accent5"/>
                <w:sz w:val="18"/>
                <w:szCs w:val="18"/>
                <w:lang w:eastAsia="en-AU"/>
              </w:rPr>
              <w:t>10 years</w:t>
            </w:r>
          </w:p>
        </w:tc>
      </w:tr>
      <w:tr w:rsidR="009203C3" w:rsidRPr="001F1F3C" w14:paraId="2363E62C" w14:textId="77777777" w:rsidTr="00FB0286">
        <w:trPr>
          <w:trHeight w:val="240"/>
        </w:trPr>
        <w:tc>
          <w:tcPr>
            <w:tcW w:w="2089" w:type="dxa"/>
            <w:vMerge/>
            <w:tcBorders>
              <w:top w:val="nil"/>
              <w:left w:val="nil"/>
              <w:bottom w:val="nil"/>
              <w:right w:val="nil"/>
            </w:tcBorders>
            <w:vAlign w:val="center"/>
            <w:hideMark/>
          </w:tcPr>
          <w:p w14:paraId="057DD081" w14:textId="77777777" w:rsidR="009203C3" w:rsidRPr="001F1F3C" w:rsidRDefault="009203C3" w:rsidP="00FB0286">
            <w:pPr>
              <w:spacing w:after="0" w:line="360" w:lineRule="auto"/>
              <w:ind w:left="0"/>
              <w:jc w:val="left"/>
              <w:rPr>
                <w:rFonts w:eastAsia="Times New Roman" w:cs="Arial"/>
                <w:color w:val="000000"/>
                <w:sz w:val="22"/>
                <w:lang w:eastAsia="en-AU"/>
              </w:rPr>
            </w:pPr>
          </w:p>
        </w:tc>
        <w:tc>
          <w:tcPr>
            <w:tcW w:w="886" w:type="dxa"/>
            <w:vMerge/>
            <w:tcBorders>
              <w:top w:val="nil"/>
              <w:left w:val="nil"/>
              <w:bottom w:val="nil"/>
              <w:right w:val="nil"/>
            </w:tcBorders>
            <w:vAlign w:val="center"/>
            <w:hideMark/>
          </w:tcPr>
          <w:p w14:paraId="46B49678" w14:textId="77777777" w:rsidR="009203C3" w:rsidRPr="001F1F3C" w:rsidRDefault="009203C3" w:rsidP="00FB0286">
            <w:pPr>
              <w:spacing w:after="0" w:line="360" w:lineRule="auto"/>
              <w:ind w:left="0"/>
              <w:jc w:val="left"/>
              <w:rPr>
                <w:rFonts w:eastAsia="Times New Roman" w:cs="Arial"/>
                <w:sz w:val="18"/>
                <w:szCs w:val="18"/>
                <w:lang w:eastAsia="en-AU"/>
              </w:rPr>
            </w:pPr>
          </w:p>
        </w:tc>
        <w:tc>
          <w:tcPr>
            <w:tcW w:w="1223" w:type="dxa"/>
            <w:tcBorders>
              <w:top w:val="nil"/>
              <w:left w:val="nil"/>
              <w:bottom w:val="nil"/>
              <w:right w:val="nil"/>
            </w:tcBorders>
            <w:shd w:val="clear" w:color="000000" w:fill="CAE7F3"/>
            <w:noWrap/>
            <w:vAlign w:val="center"/>
            <w:hideMark/>
          </w:tcPr>
          <w:p w14:paraId="18FD4D82" w14:textId="77777777" w:rsidR="009203C3" w:rsidRPr="001F1F3C" w:rsidRDefault="009203C3" w:rsidP="00FB0286">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c>
          <w:tcPr>
            <w:tcW w:w="278" w:type="dxa"/>
            <w:vMerge/>
            <w:tcBorders>
              <w:top w:val="nil"/>
              <w:left w:val="nil"/>
              <w:bottom w:val="nil"/>
              <w:right w:val="nil"/>
            </w:tcBorders>
            <w:vAlign w:val="center"/>
            <w:hideMark/>
          </w:tcPr>
          <w:p w14:paraId="48932933" w14:textId="77777777" w:rsidR="009203C3" w:rsidRPr="001F1F3C" w:rsidRDefault="009203C3" w:rsidP="00FB0286">
            <w:pPr>
              <w:spacing w:after="0" w:line="360" w:lineRule="auto"/>
              <w:ind w:left="0"/>
              <w:jc w:val="left"/>
              <w:rPr>
                <w:rFonts w:eastAsia="Times New Roman" w:cs="Arial"/>
                <w:color w:val="000000"/>
                <w:sz w:val="22"/>
                <w:lang w:eastAsia="en-AU"/>
              </w:rPr>
            </w:pPr>
          </w:p>
        </w:tc>
        <w:tc>
          <w:tcPr>
            <w:tcW w:w="1226" w:type="dxa"/>
            <w:tcBorders>
              <w:top w:val="nil"/>
              <w:left w:val="nil"/>
              <w:bottom w:val="nil"/>
              <w:right w:val="nil"/>
            </w:tcBorders>
            <w:shd w:val="clear" w:color="000000" w:fill="CAE7F3"/>
            <w:noWrap/>
            <w:vAlign w:val="center"/>
            <w:hideMark/>
          </w:tcPr>
          <w:p w14:paraId="50A0737A" w14:textId="77777777" w:rsidR="009203C3" w:rsidRPr="001F1F3C" w:rsidRDefault="009203C3" w:rsidP="00FB0286">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c>
          <w:tcPr>
            <w:tcW w:w="1192" w:type="dxa"/>
            <w:tcBorders>
              <w:top w:val="nil"/>
              <w:left w:val="nil"/>
              <w:bottom w:val="nil"/>
              <w:right w:val="nil"/>
            </w:tcBorders>
            <w:shd w:val="clear" w:color="000000" w:fill="CAE7F3"/>
            <w:noWrap/>
            <w:vAlign w:val="center"/>
            <w:hideMark/>
          </w:tcPr>
          <w:p w14:paraId="367AE304" w14:textId="77777777" w:rsidR="009203C3" w:rsidRPr="001F1F3C" w:rsidRDefault="009203C3" w:rsidP="00FB0286">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r>
      <w:tr w:rsidR="00607D93" w:rsidRPr="001F1F3C" w14:paraId="23958035" w14:textId="77777777" w:rsidTr="00FB0286">
        <w:trPr>
          <w:trHeight w:val="240"/>
        </w:trPr>
        <w:tc>
          <w:tcPr>
            <w:tcW w:w="2089" w:type="dxa"/>
            <w:tcBorders>
              <w:top w:val="nil"/>
              <w:left w:val="nil"/>
              <w:bottom w:val="nil"/>
              <w:right w:val="nil"/>
            </w:tcBorders>
            <w:shd w:val="clear" w:color="000000" w:fill="CAE7F3"/>
            <w:noWrap/>
            <w:hideMark/>
          </w:tcPr>
          <w:p w14:paraId="4A81F808" w14:textId="4ACD36A7" w:rsidR="00607D93" w:rsidRPr="00607D93" w:rsidRDefault="00607D93" w:rsidP="00607D93">
            <w:pPr>
              <w:spacing w:after="0" w:line="360" w:lineRule="auto"/>
              <w:ind w:left="0"/>
              <w:jc w:val="left"/>
              <w:rPr>
                <w:rFonts w:eastAsia="Times New Roman" w:cs="Arial"/>
                <w:sz w:val="18"/>
                <w:szCs w:val="18"/>
                <w:lang w:eastAsia="en-AU"/>
              </w:rPr>
            </w:pPr>
            <w:r w:rsidRPr="00082FE6">
              <w:rPr>
                <w:sz w:val="18"/>
                <w:szCs w:val="18"/>
              </w:rPr>
              <w:t>Electricity supply</w:t>
            </w:r>
          </w:p>
        </w:tc>
        <w:tc>
          <w:tcPr>
            <w:tcW w:w="886" w:type="dxa"/>
            <w:tcBorders>
              <w:top w:val="nil"/>
              <w:left w:val="nil"/>
              <w:bottom w:val="nil"/>
              <w:right w:val="nil"/>
            </w:tcBorders>
            <w:shd w:val="clear" w:color="000000" w:fill="CAE7F3"/>
            <w:noWrap/>
            <w:hideMark/>
          </w:tcPr>
          <w:p w14:paraId="771520C5" w14:textId="3DB68CF8" w:rsidR="00607D93" w:rsidRPr="00607D93" w:rsidRDefault="00607D93" w:rsidP="00607D93">
            <w:pPr>
              <w:spacing w:after="0" w:line="360" w:lineRule="auto"/>
              <w:ind w:left="0"/>
              <w:jc w:val="right"/>
              <w:rPr>
                <w:rFonts w:eastAsia="Times New Roman" w:cs="Arial"/>
                <w:sz w:val="18"/>
                <w:szCs w:val="18"/>
                <w:lang w:eastAsia="en-AU"/>
              </w:rPr>
            </w:pPr>
            <w:r w:rsidRPr="00082FE6">
              <w:rPr>
                <w:sz w:val="18"/>
                <w:szCs w:val="18"/>
              </w:rPr>
              <w:t xml:space="preserve"> 1,692.7 </w:t>
            </w:r>
          </w:p>
        </w:tc>
        <w:tc>
          <w:tcPr>
            <w:tcW w:w="1223" w:type="dxa"/>
            <w:tcBorders>
              <w:top w:val="nil"/>
              <w:left w:val="nil"/>
              <w:bottom w:val="nil"/>
              <w:right w:val="nil"/>
            </w:tcBorders>
            <w:shd w:val="clear" w:color="000000" w:fill="CAE7F3"/>
            <w:noWrap/>
            <w:hideMark/>
          </w:tcPr>
          <w:p w14:paraId="00972BEB" w14:textId="1F4AD9F1" w:rsidR="00607D93" w:rsidRPr="00607D93" w:rsidRDefault="00607D93" w:rsidP="00607D93">
            <w:pPr>
              <w:spacing w:after="0" w:line="360" w:lineRule="auto"/>
              <w:ind w:left="0"/>
              <w:jc w:val="right"/>
              <w:rPr>
                <w:rFonts w:eastAsia="Times New Roman" w:cs="Arial"/>
                <w:sz w:val="18"/>
                <w:szCs w:val="18"/>
                <w:lang w:eastAsia="en-AU"/>
              </w:rPr>
            </w:pPr>
            <w:r w:rsidRPr="00082FE6">
              <w:rPr>
                <w:sz w:val="18"/>
                <w:szCs w:val="18"/>
              </w:rPr>
              <w:t xml:space="preserve"> 27.5</w:t>
            </w:r>
          </w:p>
        </w:tc>
        <w:tc>
          <w:tcPr>
            <w:tcW w:w="278" w:type="dxa"/>
            <w:tcBorders>
              <w:top w:val="nil"/>
              <w:left w:val="nil"/>
              <w:bottom w:val="nil"/>
              <w:right w:val="nil"/>
            </w:tcBorders>
            <w:shd w:val="clear" w:color="000000" w:fill="CAE7F3"/>
            <w:noWrap/>
            <w:hideMark/>
          </w:tcPr>
          <w:p w14:paraId="427C7DB5" w14:textId="77777777" w:rsidR="00607D93" w:rsidRPr="00607D93" w:rsidRDefault="00607D93" w:rsidP="00607D93">
            <w:pPr>
              <w:spacing w:after="0" w:line="360" w:lineRule="auto"/>
              <w:ind w:left="0"/>
              <w:jc w:val="right"/>
              <w:rPr>
                <w:rFonts w:eastAsia="Times New Roman" w:cs="Arial"/>
                <w:sz w:val="18"/>
                <w:szCs w:val="18"/>
                <w:lang w:eastAsia="en-AU"/>
              </w:rPr>
            </w:pPr>
          </w:p>
        </w:tc>
        <w:tc>
          <w:tcPr>
            <w:tcW w:w="1226" w:type="dxa"/>
            <w:tcBorders>
              <w:top w:val="nil"/>
              <w:left w:val="nil"/>
              <w:bottom w:val="nil"/>
              <w:right w:val="nil"/>
            </w:tcBorders>
            <w:shd w:val="clear" w:color="000000" w:fill="CAE7F3"/>
            <w:noWrap/>
            <w:hideMark/>
          </w:tcPr>
          <w:p w14:paraId="3CEF7075" w14:textId="1597AFD8" w:rsidR="00607D93" w:rsidRPr="00607D93" w:rsidRDefault="00607D93" w:rsidP="00607D93">
            <w:pPr>
              <w:spacing w:after="0" w:line="360" w:lineRule="auto"/>
              <w:ind w:left="0"/>
              <w:jc w:val="right"/>
              <w:rPr>
                <w:rFonts w:eastAsia="Times New Roman" w:cs="Arial"/>
                <w:sz w:val="18"/>
                <w:szCs w:val="18"/>
                <w:lang w:eastAsia="en-AU"/>
              </w:rPr>
            </w:pPr>
            <w:r w:rsidRPr="00082FE6">
              <w:rPr>
                <w:sz w:val="18"/>
                <w:szCs w:val="18"/>
              </w:rPr>
              <w:t>-2.0</w:t>
            </w:r>
          </w:p>
        </w:tc>
        <w:tc>
          <w:tcPr>
            <w:tcW w:w="1192" w:type="dxa"/>
            <w:tcBorders>
              <w:top w:val="nil"/>
              <w:left w:val="nil"/>
              <w:bottom w:val="nil"/>
              <w:right w:val="nil"/>
            </w:tcBorders>
            <w:shd w:val="clear" w:color="000000" w:fill="CAE7F3"/>
            <w:noWrap/>
            <w:hideMark/>
          </w:tcPr>
          <w:p w14:paraId="48BA066E" w14:textId="7741BB45" w:rsidR="00607D93" w:rsidRPr="00607D93" w:rsidRDefault="00607D93" w:rsidP="00607D93">
            <w:pPr>
              <w:spacing w:after="0" w:line="360" w:lineRule="auto"/>
              <w:ind w:left="0"/>
              <w:jc w:val="right"/>
              <w:rPr>
                <w:rFonts w:eastAsia="Times New Roman" w:cs="Arial"/>
                <w:sz w:val="18"/>
                <w:szCs w:val="18"/>
                <w:lang w:eastAsia="en-AU"/>
              </w:rPr>
            </w:pPr>
            <w:r w:rsidRPr="00082FE6">
              <w:rPr>
                <w:sz w:val="18"/>
                <w:szCs w:val="18"/>
              </w:rPr>
              <w:t>-0.8</w:t>
            </w:r>
          </w:p>
        </w:tc>
      </w:tr>
      <w:tr w:rsidR="00607D93" w:rsidRPr="001F1F3C" w14:paraId="7FB63DCD" w14:textId="77777777" w:rsidTr="00FB0286">
        <w:trPr>
          <w:trHeight w:val="240"/>
        </w:trPr>
        <w:tc>
          <w:tcPr>
            <w:tcW w:w="2089" w:type="dxa"/>
            <w:tcBorders>
              <w:top w:val="nil"/>
              <w:left w:val="nil"/>
              <w:bottom w:val="nil"/>
              <w:right w:val="nil"/>
            </w:tcBorders>
            <w:shd w:val="clear" w:color="000000" w:fill="CAE7F3"/>
            <w:noWrap/>
            <w:hideMark/>
          </w:tcPr>
          <w:p w14:paraId="3964275A" w14:textId="2FBA430C" w:rsidR="00607D93" w:rsidRPr="00607D93" w:rsidRDefault="00607D93" w:rsidP="00607D93">
            <w:pPr>
              <w:spacing w:after="0" w:line="360" w:lineRule="auto"/>
              <w:ind w:left="0"/>
              <w:jc w:val="left"/>
              <w:rPr>
                <w:rFonts w:eastAsia="Times New Roman" w:cs="Arial"/>
                <w:sz w:val="18"/>
                <w:szCs w:val="18"/>
                <w:lang w:eastAsia="en-AU"/>
              </w:rPr>
            </w:pPr>
            <w:r w:rsidRPr="00082FE6">
              <w:rPr>
                <w:sz w:val="18"/>
                <w:szCs w:val="18"/>
              </w:rPr>
              <w:t>Transport</w:t>
            </w:r>
          </w:p>
        </w:tc>
        <w:tc>
          <w:tcPr>
            <w:tcW w:w="886" w:type="dxa"/>
            <w:tcBorders>
              <w:top w:val="nil"/>
              <w:left w:val="nil"/>
              <w:bottom w:val="nil"/>
              <w:right w:val="nil"/>
            </w:tcBorders>
            <w:shd w:val="clear" w:color="000000" w:fill="CAE7F3"/>
            <w:noWrap/>
            <w:hideMark/>
          </w:tcPr>
          <w:p w14:paraId="52468714" w14:textId="17AAFC4D" w:rsidR="00607D93" w:rsidRPr="00607D93" w:rsidRDefault="00607D93" w:rsidP="00607D93">
            <w:pPr>
              <w:spacing w:after="0" w:line="360" w:lineRule="auto"/>
              <w:ind w:left="0"/>
              <w:jc w:val="right"/>
              <w:rPr>
                <w:rFonts w:eastAsia="Times New Roman" w:cs="Arial"/>
                <w:sz w:val="18"/>
                <w:szCs w:val="18"/>
                <w:lang w:eastAsia="en-AU"/>
              </w:rPr>
            </w:pPr>
            <w:r w:rsidRPr="00082FE6">
              <w:rPr>
                <w:sz w:val="18"/>
                <w:szCs w:val="18"/>
              </w:rPr>
              <w:t xml:space="preserve"> 1,691.5 </w:t>
            </w:r>
          </w:p>
        </w:tc>
        <w:tc>
          <w:tcPr>
            <w:tcW w:w="1223" w:type="dxa"/>
            <w:tcBorders>
              <w:top w:val="nil"/>
              <w:left w:val="nil"/>
              <w:bottom w:val="nil"/>
              <w:right w:val="nil"/>
            </w:tcBorders>
            <w:shd w:val="clear" w:color="000000" w:fill="CAE7F3"/>
            <w:noWrap/>
            <w:hideMark/>
          </w:tcPr>
          <w:p w14:paraId="76B8ECDE" w14:textId="159DE0C1" w:rsidR="00607D93" w:rsidRPr="00607D93" w:rsidRDefault="00607D93" w:rsidP="00607D93">
            <w:pPr>
              <w:spacing w:after="0" w:line="360" w:lineRule="auto"/>
              <w:ind w:left="0"/>
              <w:jc w:val="right"/>
              <w:rPr>
                <w:rFonts w:eastAsia="Times New Roman" w:cs="Arial"/>
                <w:sz w:val="18"/>
                <w:szCs w:val="18"/>
                <w:lang w:eastAsia="en-AU"/>
              </w:rPr>
            </w:pPr>
            <w:r w:rsidRPr="00082FE6">
              <w:rPr>
                <w:sz w:val="18"/>
                <w:szCs w:val="18"/>
              </w:rPr>
              <w:t xml:space="preserve"> 27.5</w:t>
            </w:r>
          </w:p>
        </w:tc>
        <w:tc>
          <w:tcPr>
            <w:tcW w:w="278" w:type="dxa"/>
            <w:tcBorders>
              <w:top w:val="nil"/>
              <w:left w:val="nil"/>
              <w:bottom w:val="nil"/>
              <w:right w:val="nil"/>
            </w:tcBorders>
            <w:shd w:val="clear" w:color="000000" w:fill="CAE7F3"/>
            <w:noWrap/>
            <w:hideMark/>
          </w:tcPr>
          <w:p w14:paraId="2F64025A" w14:textId="77777777" w:rsidR="00607D93" w:rsidRPr="00607D93" w:rsidRDefault="00607D93" w:rsidP="00607D93">
            <w:pPr>
              <w:spacing w:after="0" w:line="360" w:lineRule="auto"/>
              <w:ind w:left="0"/>
              <w:jc w:val="right"/>
              <w:rPr>
                <w:rFonts w:eastAsia="Times New Roman" w:cs="Arial"/>
                <w:sz w:val="18"/>
                <w:szCs w:val="18"/>
                <w:lang w:eastAsia="en-AU"/>
              </w:rPr>
            </w:pPr>
          </w:p>
        </w:tc>
        <w:tc>
          <w:tcPr>
            <w:tcW w:w="1226" w:type="dxa"/>
            <w:tcBorders>
              <w:top w:val="nil"/>
              <w:left w:val="nil"/>
              <w:bottom w:val="nil"/>
              <w:right w:val="nil"/>
            </w:tcBorders>
            <w:shd w:val="clear" w:color="000000" w:fill="CAE7F3"/>
            <w:noWrap/>
            <w:hideMark/>
          </w:tcPr>
          <w:p w14:paraId="2ABAFA5B" w14:textId="64C40A3A" w:rsidR="00607D93" w:rsidRPr="00607D93" w:rsidRDefault="00607D93" w:rsidP="00607D93">
            <w:pPr>
              <w:spacing w:after="0" w:line="360" w:lineRule="auto"/>
              <w:ind w:left="0"/>
              <w:jc w:val="right"/>
              <w:rPr>
                <w:rFonts w:eastAsia="Times New Roman" w:cs="Arial"/>
                <w:sz w:val="18"/>
                <w:szCs w:val="18"/>
                <w:lang w:eastAsia="en-AU"/>
              </w:rPr>
            </w:pPr>
            <w:r w:rsidRPr="00082FE6">
              <w:rPr>
                <w:sz w:val="18"/>
                <w:szCs w:val="18"/>
              </w:rPr>
              <w:t>2.8</w:t>
            </w:r>
          </w:p>
        </w:tc>
        <w:tc>
          <w:tcPr>
            <w:tcW w:w="1192" w:type="dxa"/>
            <w:tcBorders>
              <w:top w:val="nil"/>
              <w:left w:val="nil"/>
              <w:bottom w:val="nil"/>
              <w:right w:val="nil"/>
            </w:tcBorders>
            <w:shd w:val="clear" w:color="000000" w:fill="CAE7F3"/>
            <w:noWrap/>
            <w:hideMark/>
          </w:tcPr>
          <w:p w14:paraId="62234FB8" w14:textId="4FC9432A" w:rsidR="00607D93" w:rsidRPr="00607D93" w:rsidRDefault="00607D93" w:rsidP="00607D93">
            <w:pPr>
              <w:spacing w:after="0" w:line="360" w:lineRule="auto"/>
              <w:ind w:left="0"/>
              <w:jc w:val="right"/>
              <w:rPr>
                <w:rFonts w:eastAsia="Times New Roman" w:cs="Arial"/>
                <w:sz w:val="18"/>
                <w:szCs w:val="18"/>
                <w:lang w:eastAsia="en-AU"/>
              </w:rPr>
            </w:pPr>
            <w:r w:rsidRPr="00082FE6">
              <w:rPr>
                <w:sz w:val="18"/>
                <w:szCs w:val="18"/>
              </w:rPr>
              <w:t>1.7</w:t>
            </w:r>
          </w:p>
        </w:tc>
      </w:tr>
      <w:tr w:rsidR="009203C3" w:rsidRPr="001F1F3C" w14:paraId="44C552DA" w14:textId="77777777" w:rsidTr="00FB0286">
        <w:trPr>
          <w:trHeight w:val="240"/>
        </w:trPr>
        <w:tc>
          <w:tcPr>
            <w:tcW w:w="2089" w:type="dxa"/>
            <w:tcBorders>
              <w:top w:val="nil"/>
              <w:left w:val="nil"/>
              <w:bottom w:val="nil"/>
              <w:right w:val="nil"/>
            </w:tcBorders>
            <w:shd w:val="clear" w:color="000000" w:fill="CAE7F3"/>
            <w:noWrap/>
            <w:hideMark/>
          </w:tcPr>
          <w:p w14:paraId="0D6DDA43" w14:textId="77777777" w:rsidR="009203C3" w:rsidRPr="00607D93" w:rsidRDefault="009203C3" w:rsidP="00FB0286">
            <w:pPr>
              <w:spacing w:after="0" w:line="360" w:lineRule="auto"/>
              <w:ind w:left="0"/>
              <w:jc w:val="left"/>
              <w:rPr>
                <w:rFonts w:eastAsia="Times New Roman" w:cs="Arial"/>
                <w:sz w:val="18"/>
                <w:szCs w:val="18"/>
                <w:lang w:eastAsia="en-AU"/>
              </w:rPr>
            </w:pPr>
            <w:r w:rsidRPr="00607D93">
              <w:rPr>
                <w:sz w:val="18"/>
                <w:szCs w:val="18"/>
              </w:rPr>
              <w:t xml:space="preserve">Manufacturing </w:t>
            </w:r>
          </w:p>
        </w:tc>
        <w:tc>
          <w:tcPr>
            <w:tcW w:w="886" w:type="dxa"/>
            <w:tcBorders>
              <w:top w:val="nil"/>
              <w:left w:val="nil"/>
              <w:bottom w:val="nil"/>
              <w:right w:val="nil"/>
            </w:tcBorders>
            <w:shd w:val="clear" w:color="000000" w:fill="CAE7F3"/>
            <w:noWrap/>
            <w:hideMark/>
          </w:tcPr>
          <w:p w14:paraId="4A5AE853" w14:textId="77777777" w:rsidR="009203C3" w:rsidRPr="00607D93" w:rsidRDefault="009203C3" w:rsidP="00FB0286">
            <w:pPr>
              <w:spacing w:after="0" w:line="360" w:lineRule="auto"/>
              <w:ind w:left="0"/>
              <w:jc w:val="right"/>
              <w:rPr>
                <w:rFonts w:eastAsia="Times New Roman" w:cs="Arial"/>
                <w:sz w:val="18"/>
                <w:szCs w:val="18"/>
                <w:lang w:eastAsia="en-AU"/>
              </w:rPr>
            </w:pPr>
            <w:r w:rsidRPr="00607D93">
              <w:rPr>
                <w:sz w:val="18"/>
                <w:szCs w:val="18"/>
              </w:rPr>
              <w:t xml:space="preserve"> 1,093.7 </w:t>
            </w:r>
          </w:p>
        </w:tc>
        <w:tc>
          <w:tcPr>
            <w:tcW w:w="1223" w:type="dxa"/>
            <w:tcBorders>
              <w:top w:val="nil"/>
              <w:left w:val="nil"/>
              <w:bottom w:val="nil"/>
              <w:right w:val="nil"/>
            </w:tcBorders>
            <w:shd w:val="clear" w:color="000000" w:fill="CAE7F3"/>
            <w:noWrap/>
            <w:hideMark/>
          </w:tcPr>
          <w:p w14:paraId="1C8F8388" w14:textId="77777777" w:rsidR="009203C3" w:rsidRPr="00607D93" w:rsidRDefault="009203C3" w:rsidP="00FB0286">
            <w:pPr>
              <w:spacing w:after="0" w:line="360" w:lineRule="auto"/>
              <w:ind w:left="0"/>
              <w:jc w:val="right"/>
              <w:rPr>
                <w:rFonts w:eastAsia="Times New Roman" w:cs="Arial"/>
                <w:sz w:val="18"/>
                <w:szCs w:val="18"/>
                <w:lang w:eastAsia="en-AU"/>
              </w:rPr>
            </w:pPr>
            <w:r w:rsidRPr="00607D93">
              <w:rPr>
                <w:sz w:val="18"/>
                <w:szCs w:val="18"/>
              </w:rPr>
              <w:t xml:space="preserve"> 17.8</w:t>
            </w:r>
          </w:p>
        </w:tc>
        <w:tc>
          <w:tcPr>
            <w:tcW w:w="278" w:type="dxa"/>
            <w:tcBorders>
              <w:top w:val="nil"/>
              <w:left w:val="nil"/>
              <w:bottom w:val="nil"/>
              <w:right w:val="nil"/>
            </w:tcBorders>
            <w:shd w:val="clear" w:color="000000" w:fill="CAE7F3"/>
            <w:noWrap/>
            <w:hideMark/>
          </w:tcPr>
          <w:p w14:paraId="48B5C7E8" w14:textId="77777777" w:rsidR="009203C3" w:rsidRPr="00607D93" w:rsidRDefault="009203C3" w:rsidP="00FB0286">
            <w:pPr>
              <w:spacing w:after="0" w:line="360" w:lineRule="auto"/>
              <w:ind w:left="0"/>
              <w:jc w:val="right"/>
              <w:rPr>
                <w:rFonts w:eastAsia="Times New Roman" w:cs="Arial"/>
                <w:sz w:val="18"/>
                <w:szCs w:val="18"/>
                <w:lang w:eastAsia="en-AU"/>
              </w:rPr>
            </w:pPr>
          </w:p>
        </w:tc>
        <w:tc>
          <w:tcPr>
            <w:tcW w:w="1226" w:type="dxa"/>
            <w:tcBorders>
              <w:top w:val="nil"/>
              <w:left w:val="nil"/>
              <w:bottom w:val="nil"/>
              <w:right w:val="nil"/>
            </w:tcBorders>
            <w:shd w:val="clear" w:color="000000" w:fill="CAE7F3"/>
            <w:noWrap/>
            <w:hideMark/>
          </w:tcPr>
          <w:p w14:paraId="00C2DE69" w14:textId="77777777" w:rsidR="009203C3" w:rsidRPr="00607D93" w:rsidRDefault="009203C3" w:rsidP="00FB0286">
            <w:pPr>
              <w:spacing w:after="0" w:line="360" w:lineRule="auto"/>
              <w:ind w:left="0"/>
              <w:jc w:val="right"/>
              <w:rPr>
                <w:rFonts w:eastAsia="Times New Roman" w:cs="Arial"/>
                <w:sz w:val="18"/>
                <w:szCs w:val="18"/>
                <w:lang w:eastAsia="en-AU"/>
              </w:rPr>
            </w:pPr>
            <w:r w:rsidRPr="00607D93">
              <w:rPr>
                <w:sz w:val="18"/>
                <w:szCs w:val="18"/>
              </w:rPr>
              <w:t>-2.1</w:t>
            </w:r>
          </w:p>
        </w:tc>
        <w:tc>
          <w:tcPr>
            <w:tcW w:w="1192" w:type="dxa"/>
            <w:tcBorders>
              <w:top w:val="nil"/>
              <w:left w:val="nil"/>
              <w:bottom w:val="nil"/>
              <w:right w:val="nil"/>
            </w:tcBorders>
            <w:shd w:val="clear" w:color="000000" w:fill="CAE7F3"/>
            <w:noWrap/>
            <w:hideMark/>
          </w:tcPr>
          <w:p w14:paraId="4EDB0E6D" w14:textId="77777777" w:rsidR="009203C3" w:rsidRPr="00607D93" w:rsidRDefault="009203C3" w:rsidP="00FB0286">
            <w:pPr>
              <w:spacing w:after="0" w:line="360" w:lineRule="auto"/>
              <w:ind w:left="0"/>
              <w:jc w:val="right"/>
              <w:rPr>
                <w:rFonts w:eastAsia="Times New Roman" w:cs="Arial"/>
                <w:sz w:val="18"/>
                <w:szCs w:val="18"/>
                <w:lang w:eastAsia="en-AU"/>
              </w:rPr>
            </w:pPr>
            <w:r w:rsidRPr="00607D93">
              <w:rPr>
                <w:sz w:val="18"/>
                <w:szCs w:val="18"/>
              </w:rPr>
              <w:t>-1.1</w:t>
            </w:r>
          </w:p>
        </w:tc>
      </w:tr>
      <w:tr w:rsidR="009203C3" w:rsidRPr="001F1F3C" w14:paraId="002F9A5B" w14:textId="77777777" w:rsidTr="00FB0286">
        <w:trPr>
          <w:trHeight w:val="240"/>
        </w:trPr>
        <w:tc>
          <w:tcPr>
            <w:tcW w:w="2089" w:type="dxa"/>
            <w:tcBorders>
              <w:top w:val="nil"/>
              <w:left w:val="nil"/>
              <w:bottom w:val="nil"/>
              <w:right w:val="nil"/>
            </w:tcBorders>
            <w:shd w:val="clear" w:color="000000" w:fill="CAE7F3"/>
            <w:noWrap/>
            <w:hideMark/>
          </w:tcPr>
          <w:p w14:paraId="61083FAC" w14:textId="77777777" w:rsidR="009203C3" w:rsidRPr="00607D93" w:rsidRDefault="009203C3" w:rsidP="00FB0286">
            <w:pPr>
              <w:spacing w:after="0" w:line="360" w:lineRule="auto"/>
              <w:ind w:left="0"/>
              <w:jc w:val="left"/>
              <w:rPr>
                <w:rFonts w:eastAsia="Times New Roman" w:cs="Arial"/>
                <w:sz w:val="18"/>
                <w:szCs w:val="18"/>
                <w:lang w:eastAsia="en-AU"/>
              </w:rPr>
            </w:pPr>
            <w:r w:rsidRPr="00607D93">
              <w:rPr>
                <w:sz w:val="18"/>
                <w:szCs w:val="18"/>
              </w:rPr>
              <w:t>Mining</w:t>
            </w:r>
          </w:p>
        </w:tc>
        <w:tc>
          <w:tcPr>
            <w:tcW w:w="886" w:type="dxa"/>
            <w:tcBorders>
              <w:top w:val="nil"/>
              <w:left w:val="nil"/>
              <w:bottom w:val="nil"/>
              <w:right w:val="nil"/>
            </w:tcBorders>
            <w:shd w:val="clear" w:color="000000" w:fill="CAE7F3"/>
            <w:noWrap/>
            <w:hideMark/>
          </w:tcPr>
          <w:p w14:paraId="147F9875" w14:textId="77777777" w:rsidR="009203C3" w:rsidRPr="00607D93" w:rsidRDefault="009203C3" w:rsidP="00FB0286">
            <w:pPr>
              <w:spacing w:after="0" w:line="360" w:lineRule="auto"/>
              <w:ind w:left="0"/>
              <w:jc w:val="right"/>
              <w:rPr>
                <w:rFonts w:eastAsia="Times New Roman" w:cs="Arial"/>
                <w:sz w:val="18"/>
                <w:szCs w:val="18"/>
                <w:lang w:eastAsia="en-AU"/>
              </w:rPr>
            </w:pPr>
            <w:r w:rsidRPr="00607D93">
              <w:rPr>
                <w:sz w:val="18"/>
                <w:szCs w:val="18"/>
              </w:rPr>
              <w:t xml:space="preserve"> 669.0 </w:t>
            </w:r>
          </w:p>
        </w:tc>
        <w:tc>
          <w:tcPr>
            <w:tcW w:w="1223" w:type="dxa"/>
            <w:tcBorders>
              <w:top w:val="nil"/>
              <w:left w:val="nil"/>
              <w:bottom w:val="nil"/>
              <w:right w:val="nil"/>
            </w:tcBorders>
            <w:shd w:val="clear" w:color="000000" w:fill="CAE7F3"/>
            <w:noWrap/>
            <w:hideMark/>
          </w:tcPr>
          <w:p w14:paraId="7E08745A" w14:textId="77777777" w:rsidR="009203C3" w:rsidRPr="00607D93" w:rsidRDefault="009203C3" w:rsidP="00FB0286">
            <w:pPr>
              <w:spacing w:after="0" w:line="360" w:lineRule="auto"/>
              <w:ind w:left="0"/>
              <w:jc w:val="right"/>
              <w:rPr>
                <w:rFonts w:eastAsia="Times New Roman" w:cs="Arial"/>
                <w:sz w:val="18"/>
                <w:szCs w:val="18"/>
                <w:lang w:eastAsia="en-AU"/>
              </w:rPr>
            </w:pPr>
            <w:r w:rsidRPr="00607D93">
              <w:rPr>
                <w:sz w:val="18"/>
                <w:szCs w:val="18"/>
              </w:rPr>
              <w:t xml:space="preserve"> 10.9</w:t>
            </w:r>
          </w:p>
        </w:tc>
        <w:tc>
          <w:tcPr>
            <w:tcW w:w="278" w:type="dxa"/>
            <w:tcBorders>
              <w:top w:val="nil"/>
              <w:left w:val="nil"/>
              <w:bottom w:val="nil"/>
              <w:right w:val="nil"/>
            </w:tcBorders>
            <w:shd w:val="clear" w:color="000000" w:fill="CAE7F3"/>
            <w:noWrap/>
            <w:hideMark/>
          </w:tcPr>
          <w:p w14:paraId="25649536" w14:textId="77777777" w:rsidR="009203C3" w:rsidRPr="00607D93" w:rsidRDefault="009203C3" w:rsidP="00FB0286">
            <w:pPr>
              <w:spacing w:after="0" w:line="360" w:lineRule="auto"/>
              <w:ind w:left="0"/>
              <w:jc w:val="right"/>
              <w:rPr>
                <w:rFonts w:eastAsia="Times New Roman" w:cs="Arial"/>
                <w:sz w:val="18"/>
                <w:szCs w:val="18"/>
                <w:lang w:eastAsia="en-AU"/>
              </w:rPr>
            </w:pPr>
          </w:p>
        </w:tc>
        <w:tc>
          <w:tcPr>
            <w:tcW w:w="1226" w:type="dxa"/>
            <w:tcBorders>
              <w:top w:val="nil"/>
              <w:left w:val="nil"/>
              <w:bottom w:val="nil"/>
              <w:right w:val="nil"/>
            </w:tcBorders>
            <w:shd w:val="clear" w:color="000000" w:fill="CAE7F3"/>
            <w:noWrap/>
            <w:hideMark/>
          </w:tcPr>
          <w:p w14:paraId="1EBCFD7B" w14:textId="77777777" w:rsidR="009203C3" w:rsidRPr="00607D93" w:rsidRDefault="009203C3" w:rsidP="00FB0286">
            <w:pPr>
              <w:spacing w:after="0" w:line="360" w:lineRule="auto"/>
              <w:ind w:left="0"/>
              <w:jc w:val="right"/>
              <w:rPr>
                <w:rFonts w:eastAsia="Times New Roman" w:cs="Arial"/>
                <w:sz w:val="18"/>
                <w:szCs w:val="18"/>
                <w:lang w:eastAsia="en-AU"/>
              </w:rPr>
            </w:pPr>
            <w:r w:rsidRPr="00607D93">
              <w:rPr>
                <w:sz w:val="18"/>
                <w:szCs w:val="18"/>
              </w:rPr>
              <w:t>11.8</w:t>
            </w:r>
          </w:p>
        </w:tc>
        <w:tc>
          <w:tcPr>
            <w:tcW w:w="1192" w:type="dxa"/>
            <w:tcBorders>
              <w:top w:val="nil"/>
              <w:left w:val="nil"/>
              <w:bottom w:val="nil"/>
              <w:right w:val="nil"/>
            </w:tcBorders>
            <w:shd w:val="clear" w:color="000000" w:fill="CAE7F3"/>
            <w:noWrap/>
            <w:hideMark/>
          </w:tcPr>
          <w:p w14:paraId="53550863" w14:textId="77777777" w:rsidR="009203C3" w:rsidRPr="00607D93" w:rsidRDefault="009203C3" w:rsidP="00FB0286">
            <w:pPr>
              <w:spacing w:after="0" w:line="360" w:lineRule="auto"/>
              <w:ind w:left="0"/>
              <w:jc w:val="right"/>
              <w:rPr>
                <w:rFonts w:eastAsia="Times New Roman" w:cs="Arial"/>
                <w:sz w:val="18"/>
                <w:szCs w:val="18"/>
                <w:lang w:eastAsia="en-AU"/>
              </w:rPr>
            </w:pPr>
            <w:r w:rsidRPr="00607D93">
              <w:rPr>
                <w:sz w:val="18"/>
                <w:szCs w:val="18"/>
              </w:rPr>
              <w:t>8.0</w:t>
            </w:r>
          </w:p>
        </w:tc>
      </w:tr>
      <w:tr w:rsidR="009203C3" w:rsidRPr="001F1F3C" w14:paraId="6366BD00" w14:textId="77777777" w:rsidTr="00FB0286">
        <w:trPr>
          <w:trHeight w:val="240"/>
        </w:trPr>
        <w:tc>
          <w:tcPr>
            <w:tcW w:w="2089" w:type="dxa"/>
            <w:tcBorders>
              <w:top w:val="nil"/>
              <w:left w:val="nil"/>
              <w:bottom w:val="nil"/>
              <w:right w:val="nil"/>
            </w:tcBorders>
            <w:shd w:val="clear" w:color="000000" w:fill="CAE7F3"/>
            <w:noWrap/>
            <w:hideMark/>
          </w:tcPr>
          <w:p w14:paraId="3D41471C" w14:textId="77777777" w:rsidR="009203C3" w:rsidRPr="00060581" w:rsidRDefault="009203C3" w:rsidP="00FB0286">
            <w:pPr>
              <w:spacing w:after="0" w:line="360" w:lineRule="auto"/>
              <w:ind w:left="0"/>
              <w:jc w:val="left"/>
              <w:rPr>
                <w:rFonts w:eastAsia="Times New Roman" w:cs="Arial"/>
                <w:sz w:val="18"/>
                <w:szCs w:val="18"/>
                <w:lang w:eastAsia="en-AU"/>
              </w:rPr>
            </w:pPr>
            <w:r w:rsidRPr="00CB4EBE">
              <w:rPr>
                <w:sz w:val="18"/>
                <w:szCs w:val="18"/>
              </w:rPr>
              <w:t>Residential</w:t>
            </w:r>
          </w:p>
        </w:tc>
        <w:tc>
          <w:tcPr>
            <w:tcW w:w="886" w:type="dxa"/>
            <w:tcBorders>
              <w:top w:val="nil"/>
              <w:left w:val="nil"/>
              <w:bottom w:val="nil"/>
              <w:right w:val="nil"/>
            </w:tcBorders>
            <w:shd w:val="clear" w:color="000000" w:fill="CAE7F3"/>
            <w:noWrap/>
            <w:hideMark/>
          </w:tcPr>
          <w:p w14:paraId="0C51E3E7"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 xml:space="preserve"> 458.4 </w:t>
            </w:r>
          </w:p>
        </w:tc>
        <w:tc>
          <w:tcPr>
            <w:tcW w:w="1223" w:type="dxa"/>
            <w:tcBorders>
              <w:top w:val="nil"/>
              <w:left w:val="nil"/>
              <w:bottom w:val="nil"/>
              <w:right w:val="nil"/>
            </w:tcBorders>
            <w:shd w:val="clear" w:color="000000" w:fill="CAE7F3"/>
            <w:noWrap/>
            <w:hideMark/>
          </w:tcPr>
          <w:p w14:paraId="3CA0D7E8"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 xml:space="preserve"> 7.5</w:t>
            </w:r>
          </w:p>
        </w:tc>
        <w:tc>
          <w:tcPr>
            <w:tcW w:w="278" w:type="dxa"/>
            <w:tcBorders>
              <w:top w:val="nil"/>
              <w:left w:val="nil"/>
              <w:bottom w:val="nil"/>
              <w:right w:val="nil"/>
            </w:tcBorders>
            <w:shd w:val="clear" w:color="000000" w:fill="CAE7F3"/>
            <w:noWrap/>
            <w:hideMark/>
          </w:tcPr>
          <w:p w14:paraId="0187A199" w14:textId="77777777" w:rsidR="009203C3" w:rsidRPr="00060581" w:rsidRDefault="009203C3" w:rsidP="00FB0286">
            <w:pPr>
              <w:spacing w:after="0" w:line="360" w:lineRule="auto"/>
              <w:ind w:left="0"/>
              <w:jc w:val="right"/>
              <w:rPr>
                <w:rFonts w:eastAsia="Times New Roman" w:cs="Arial"/>
                <w:sz w:val="18"/>
                <w:szCs w:val="18"/>
                <w:lang w:eastAsia="en-AU"/>
              </w:rPr>
            </w:pPr>
          </w:p>
        </w:tc>
        <w:tc>
          <w:tcPr>
            <w:tcW w:w="1226" w:type="dxa"/>
            <w:tcBorders>
              <w:top w:val="nil"/>
              <w:left w:val="nil"/>
              <w:bottom w:val="nil"/>
              <w:right w:val="nil"/>
            </w:tcBorders>
            <w:shd w:val="clear" w:color="000000" w:fill="CAE7F3"/>
            <w:noWrap/>
            <w:hideMark/>
          </w:tcPr>
          <w:p w14:paraId="4B4F148B"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-0.5</w:t>
            </w:r>
          </w:p>
        </w:tc>
        <w:tc>
          <w:tcPr>
            <w:tcW w:w="1192" w:type="dxa"/>
            <w:tcBorders>
              <w:top w:val="nil"/>
              <w:left w:val="nil"/>
              <w:bottom w:val="nil"/>
              <w:right w:val="nil"/>
            </w:tcBorders>
            <w:shd w:val="clear" w:color="000000" w:fill="CAE7F3"/>
            <w:noWrap/>
            <w:hideMark/>
          </w:tcPr>
          <w:p w14:paraId="33D3E78C"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0.7</w:t>
            </w:r>
          </w:p>
        </w:tc>
      </w:tr>
      <w:tr w:rsidR="009203C3" w:rsidRPr="001F1F3C" w14:paraId="3372AA3A" w14:textId="77777777" w:rsidTr="00FB0286">
        <w:trPr>
          <w:trHeight w:val="240"/>
        </w:trPr>
        <w:tc>
          <w:tcPr>
            <w:tcW w:w="2089" w:type="dxa"/>
            <w:tcBorders>
              <w:top w:val="nil"/>
              <w:left w:val="nil"/>
              <w:bottom w:val="nil"/>
              <w:right w:val="nil"/>
            </w:tcBorders>
            <w:shd w:val="clear" w:color="000000" w:fill="CAE7F3"/>
            <w:noWrap/>
            <w:hideMark/>
          </w:tcPr>
          <w:p w14:paraId="776D8C5A" w14:textId="77777777" w:rsidR="009203C3" w:rsidRPr="00060581" w:rsidRDefault="009203C3" w:rsidP="00FB0286">
            <w:pPr>
              <w:spacing w:after="0" w:line="360" w:lineRule="auto"/>
              <w:ind w:left="0"/>
              <w:jc w:val="left"/>
              <w:rPr>
                <w:rFonts w:eastAsia="Times New Roman" w:cs="Arial"/>
                <w:sz w:val="18"/>
                <w:szCs w:val="18"/>
                <w:lang w:eastAsia="en-AU"/>
              </w:rPr>
            </w:pPr>
            <w:r w:rsidRPr="00CB4EBE">
              <w:rPr>
                <w:sz w:val="18"/>
                <w:szCs w:val="18"/>
              </w:rPr>
              <w:t>Commercial</w:t>
            </w:r>
          </w:p>
        </w:tc>
        <w:tc>
          <w:tcPr>
            <w:tcW w:w="886" w:type="dxa"/>
            <w:tcBorders>
              <w:top w:val="nil"/>
              <w:left w:val="nil"/>
              <w:bottom w:val="nil"/>
              <w:right w:val="nil"/>
            </w:tcBorders>
            <w:shd w:val="clear" w:color="000000" w:fill="CAE7F3"/>
            <w:noWrap/>
            <w:hideMark/>
          </w:tcPr>
          <w:p w14:paraId="40AE535A"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 xml:space="preserve"> 344.6 </w:t>
            </w:r>
          </w:p>
        </w:tc>
        <w:tc>
          <w:tcPr>
            <w:tcW w:w="1223" w:type="dxa"/>
            <w:tcBorders>
              <w:top w:val="nil"/>
              <w:left w:val="nil"/>
              <w:bottom w:val="nil"/>
              <w:right w:val="nil"/>
            </w:tcBorders>
            <w:shd w:val="clear" w:color="000000" w:fill="CAE7F3"/>
            <w:noWrap/>
            <w:hideMark/>
          </w:tcPr>
          <w:p w14:paraId="7AC08ADE"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 xml:space="preserve"> 5.6</w:t>
            </w:r>
          </w:p>
        </w:tc>
        <w:tc>
          <w:tcPr>
            <w:tcW w:w="278" w:type="dxa"/>
            <w:tcBorders>
              <w:top w:val="nil"/>
              <w:left w:val="nil"/>
              <w:bottom w:val="nil"/>
              <w:right w:val="nil"/>
            </w:tcBorders>
            <w:shd w:val="clear" w:color="000000" w:fill="CAE7F3"/>
            <w:noWrap/>
            <w:hideMark/>
          </w:tcPr>
          <w:p w14:paraId="479C6B6C" w14:textId="77777777" w:rsidR="009203C3" w:rsidRPr="00060581" w:rsidRDefault="009203C3" w:rsidP="00FB0286">
            <w:pPr>
              <w:spacing w:after="0" w:line="360" w:lineRule="auto"/>
              <w:ind w:left="0"/>
              <w:jc w:val="right"/>
              <w:rPr>
                <w:rFonts w:eastAsia="Times New Roman" w:cs="Arial"/>
                <w:sz w:val="18"/>
                <w:szCs w:val="18"/>
                <w:lang w:eastAsia="en-AU"/>
              </w:rPr>
            </w:pPr>
          </w:p>
        </w:tc>
        <w:tc>
          <w:tcPr>
            <w:tcW w:w="1226" w:type="dxa"/>
            <w:tcBorders>
              <w:top w:val="nil"/>
              <w:left w:val="nil"/>
              <w:bottom w:val="nil"/>
              <w:right w:val="nil"/>
            </w:tcBorders>
            <w:shd w:val="clear" w:color="000000" w:fill="CAE7F3"/>
            <w:noWrap/>
            <w:hideMark/>
          </w:tcPr>
          <w:p w14:paraId="56D1E2FA"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1.7</w:t>
            </w:r>
          </w:p>
        </w:tc>
        <w:tc>
          <w:tcPr>
            <w:tcW w:w="1192" w:type="dxa"/>
            <w:tcBorders>
              <w:top w:val="nil"/>
              <w:left w:val="nil"/>
              <w:bottom w:val="nil"/>
              <w:right w:val="nil"/>
            </w:tcBorders>
            <w:shd w:val="clear" w:color="000000" w:fill="CAE7F3"/>
            <w:noWrap/>
            <w:hideMark/>
          </w:tcPr>
          <w:p w14:paraId="4CFD7B5E"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2.0</w:t>
            </w:r>
          </w:p>
        </w:tc>
      </w:tr>
      <w:tr w:rsidR="009203C3" w:rsidRPr="001F1F3C" w14:paraId="70169D9F" w14:textId="77777777" w:rsidTr="00FB0286">
        <w:trPr>
          <w:trHeight w:val="240"/>
        </w:trPr>
        <w:tc>
          <w:tcPr>
            <w:tcW w:w="2089" w:type="dxa"/>
            <w:tcBorders>
              <w:top w:val="nil"/>
              <w:left w:val="nil"/>
              <w:bottom w:val="nil"/>
              <w:right w:val="nil"/>
            </w:tcBorders>
            <w:shd w:val="clear" w:color="000000" w:fill="CAE7F3"/>
            <w:noWrap/>
            <w:hideMark/>
          </w:tcPr>
          <w:p w14:paraId="50F94E2F" w14:textId="77777777" w:rsidR="009203C3" w:rsidRPr="00060581" w:rsidRDefault="009203C3" w:rsidP="00FB0286">
            <w:pPr>
              <w:spacing w:after="0" w:line="360" w:lineRule="auto"/>
              <w:ind w:left="0"/>
              <w:jc w:val="left"/>
              <w:rPr>
                <w:rFonts w:eastAsia="Times New Roman" w:cs="Arial"/>
                <w:sz w:val="18"/>
                <w:szCs w:val="18"/>
                <w:lang w:eastAsia="en-AU"/>
              </w:rPr>
            </w:pPr>
            <w:r w:rsidRPr="00CB4EBE">
              <w:rPr>
                <w:sz w:val="18"/>
                <w:szCs w:val="18"/>
              </w:rPr>
              <w:t>Agriculture</w:t>
            </w:r>
          </w:p>
        </w:tc>
        <w:tc>
          <w:tcPr>
            <w:tcW w:w="886" w:type="dxa"/>
            <w:tcBorders>
              <w:top w:val="nil"/>
              <w:left w:val="nil"/>
              <w:bottom w:val="nil"/>
              <w:right w:val="nil"/>
            </w:tcBorders>
            <w:shd w:val="clear" w:color="000000" w:fill="CAE7F3"/>
            <w:noWrap/>
            <w:hideMark/>
          </w:tcPr>
          <w:p w14:paraId="0739361F"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 xml:space="preserve"> 116.3 </w:t>
            </w:r>
          </w:p>
        </w:tc>
        <w:tc>
          <w:tcPr>
            <w:tcW w:w="1223" w:type="dxa"/>
            <w:tcBorders>
              <w:top w:val="nil"/>
              <w:left w:val="nil"/>
              <w:bottom w:val="nil"/>
              <w:right w:val="nil"/>
            </w:tcBorders>
            <w:shd w:val="clear" w:color="000000" w:fill="CAE7F3"/>
            <w:noWrap/>
            <w:hideMark/>
          </w:tcPr>
          <w:p w14:paraId="38DDFCF5"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 xml:space="preserve"> 1.9</w:t>
            </w:r>
          </w:p>
        </w:tc>
        <w:tc>
          <w:tcPr>
            <w:tcW w:w="278" w:type="dxa"/>
            <w:tcBorders>
              <w:top w:val="nil"/>
              <w:left w:val="nil"/>
              <w:bottom w:val="nil"/>
              <w:right w:val="nil"/>
            </w:tcBorders>
            <w:shd w:val="clear" w:color="000000" w:fill="CAE7F3"/>
            <w:noWrap/>
            <w:hideMark/>
          </w:tcPr>
          <w:p w14:paraId="373E1799" w14:textId="77777777" w:rsidR="009203C3" w:rsidRPr="00060581" w:rsidRDefault="009203C3" w:rsidP="00FB0286">
            <w:pPr>
              <w:spacing w:after="0" w:line="360" w:lineRule="auto"/>
              <w:ind w:left="0"/>
              <w:jc w:val="right"/>
              <w:rPr>
                <w:rFonts w:eastAsia="Times New Roman" w:cs="Arial"/>
                <w:sz w:val="18"/>
                <w:szCs w:val="18"/>
                <w:lang w:eastAsia="en-AU"/>
              </w:rPr>
            </w:pPr>
          </w:p>
        </w:tc>
        <w:tc>
          <w:tcPr>
            <w:tcW w:w="1226" w:type="dxa"/>
            <w:tcBorders>
              <w:top w:val="nil"/>
              <w:left w:val="nil"/>
              <w:bottom w:val="nil"/>
              <w:right w:val="nil"/>
            </w:tcBorders>
            <w:shd w:val="clear" w:color="000000" w:fill="CAE7F3"/>
            <w:noWrap/>
            <w:hideMark/>
          </w:tcPr>
          <w:p w14:paraId="641C2531"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5.9</w:t>
            </w:r>
          </w:p>
        </w:tc>
        <w:tc>
          <w:tcPr>
            <w:tcW w:w="1192" w:type="dxa"/>
            <w:tcBorders>
              <w:top w:val="nil"/>
              <w:left w:val="nil"/>
              <w:bottom w:val="nil"/>
              <w:right w:val="nil"/>
            </w:tcBorders>
            <w:shd w:val="clear" w:color="000000" w:fill="CAE7F3"/>
            <w:noWrap/>
            <w:hideMark/>
          </w:tcPr>
          <w:p w14:paraId="26CBB61F"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2.3</w:t>
            </w:r>
          </w:p>
        </w:tc>
      </w:tr>
      <w:tr w:rsidR="009203C3" w:rsidRPr="001F1F3C" w14:paraId="01635DAC" w14:textId="77777777" w:rsidTr="00FB0286">
        <w:trPr>
          <w:trHeight w:val="240"/>
        </w:trPr>
        <w:tc>
          <w:tcPr>
            <w:tcW w:w="2089" w:type="dxa"/>
            <w:tcBorders>
              <w:top w:val="nil"/>
              <w:left w:val="nil"/>
              <w:bottom w:val="nil"/>
              <w:right w:val="nil"/>
            </w:tcBorders>
            <w:shd w:val="clear" w:color="000000" w:fill="CAE7F3"/>
            <w:noWrap/>
            <w:hideMark/>
          </w:tcPr>
          <w:p w14:paraId="2EA9DF37" w14:textId="77777777" w:rsidR="009203C3" w:rsidRPr="00060581" w:rsidRDefault="009203C3" w:rsidP="00FB0286">
            <w:pPr>
              <w:spacing w:after="0" w:line="360" w:lineRule="auto"/>
              <w:ind w:left="0"/>
              <w:jc w:val="left"/>
              <w:rPr>
                <w:rFonts w:eastAsia="Times New Roman" w:cs="Arial"/>
                <w:sz w:val="18"/>
                <w:szCs w:val="18"/>
                <w:lang w:eastAsia="en-AU"/>
              </w:rPr>
            </w:pPr>
            <w:r w:rsidRPr="00CB4EBE">
              <w:rPr>
                <w:sz w:val="18"/>
                <w:szCs w:val="18"/>
              </w:rPr>
              <w:t>Construction</w:t>
            </w:r>
          </w:p>
        </w:tc>
        <w:tc>
          <w:tcPr>
            <w:tcW w:w="886" w:type="dxa"/>
            <w:tcBorders>
              <w:top w:val="nil"/>
              <w:left w:val="nil"/>
              <w:bottom w:val="nil"/>
              <w:right w:val="nil"/>
            </w:tcBorders>
            <w:shd w:val="clear" w:color="000000" w:fill="CAE7F3"/>
            <w:noWrap/>
            <w:hideMark/>
          </w:tcPr>
          <w:p w14:paraId="45E4FD99"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 xml:space="preserve"> 24.2 </w:t>
            </w:r>
          </w:p>
        </w:tc>
        <w:tc>
          <w:tcPr>
            <w:tcW w:w="1223" w:type="dxa"/>
            <w:tcBorders>
              <w:top w:val="nil"/>
              <w:left w:val="nil"/>
              <w:bottom w:val="nil"/>
              <w:right w:val="nil"/>
            </w:tcBorders>
            <w:shd w:val="clear" w:color="000000" w:fill="CAE7F3"/>
            <w:noWrap/>
            <w:hideMark/>
          </w:tcPr>
          <w:p w14:paraId="7CE1AE65"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 xml:space="preserve"> 0.4</w:t>
            </w:r>
          </w:p>
        </w:tc>
        <w:tc>
          <w:tcPr>
            <w:tcW w:w="278" w:type="dxa"/>
            <w:tcBorders>
              <w:top w:val="nil"/>
              <w:left w:val="nil"/>
              <w:bottom w:val="nil"/>
              <w:right w:val="nil"/>
            </w:tcBorders>
            <w:shd w:val="clear" w:color="000000" w:fill="CAE7F3"/>
            <w:noWrap/>
            <w:hideMark/>
          </w:tcPr>
          <w:p w14:paraId="78EC5465" w14:textId="77777777" w:rsidR="009203C3" w:rsidRPr="00060581" w:rsidRDefault="009203C3" w:rsidP="00FB0286">
            <w:pPr>
              <w:spacing w:after="0" w:line="360" w:lineRule="auto"/>
              <w:ind w:left="0"/>
              <w:jc w:val="right"/>
              <w:rPr>
                <w:rFonts w:eastAsia="Times New Roman" w:cs="Arial"/>
                <w:sz w:val="18"/>
                <w:szCs w:val="18"/>
                <w:lang w:eastAsia="en-AU"/>
              </w:rPr>
            </w:pPr>
          </w:p>
        </w:tc>
        <w:tc>
          <w:tcPr>
            <w:tcW w:w="1226" w:type="dxa"/>
            <w:tcBorders>
              <w:top w:val="nil"/>
              <w:left w:val="nil"/>
              <w:bottom w:val="nil"/>
              <w:right w:val="nil"/>
            </w:tcBorders>
            <w:shd w:val="clear" w:color="000000" w:fill="CAE7F3"/>
            <w:noWrap/>
            <w:hideMark/>
          </w:tcPr>
          <w:p w14:paraId="1D6EA2B3"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-0.8</w:t>
            </w:r>
          </w:p>
        </w:tc>
        <w:tc>
          <w:tcPr>
            <w:tcW w:w="1192" w:type="dxa"/>
            <w:tcBorders>
              <w:top w:val="nil"/>
              <w:left w:val="nil"/>
              <w:bottom w:val="nil"/>
              <w:right w:val="nil"/>
            </w:tcBorders>
            <w:shd w:val="clear" w:color="000000" w:fill="CAE7F3"/>
            <w:noWrap/>
            <w:hideMark/>
          </w:tcPr>
          <w:p w14:paraId="3864782E"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-1.0</w:t>
            </w:r>
          </w:p>
        </w:tc>
      </w:tr>
      <w:tr w:rsidR="009203C3" w:rsidRPr="001F1F3C" w14:paraId="4B3DC41F" w14:textId="77777777" w:rsidTr="00FB0286">
        <w:trPr>
          <w:trHeight w:val="240"/>
        </w:trPr>
        <w:tc>
          <w:tcPr>
            <w:tcW w:w="2089" w:type="dxa"/>
            <w:tcBorders>
              <w:top w:val="nil"/>
              <w:left w:val="nil"/>
              <w:bottom w:val="nil"/>
              <w:right w:val="nil"/>
            </w:tcBorders>
            <w:shd w:val="clear" w:color="000000" w:fill="CAE7F3"/>
            <w:noWrap/>
            <w:hideMark/>
          </w:tcPr>
          <w:p w14:paraId="5C0D449B" w14:textId="77777777" w:rsidR="009203C3" w:rsidRPr="00060581" w:rsidRDefault="009203C3" w:rsidP="00FB0286">
            <w:pPr>
              <w:spacing w:after="0" w:line="480" w:lineRule="auto"/>
              <w:ind w:left="0"/>
              <w:jc w:val="left"/>
              <w:rPr>
                <w:rFonts w:eastAsia="Times New Roman" w:cs="Arial"/>
                <w:sz w:val="18"/>
                <w:szCs w:val="18"/>
                <w:lang w:eastAsia="en-AU"/>
              </w:rPr>
            </w:pPr>
            <w:r w:rsidRPr="00CB4EBE">
              <w:rPr>
                <w:sz w:val="18"/>
                <w:szCs w:val="18"/>
              </w:rPr>
              <w:t>Other</w:t>
            </w:r>
          </w:p>
        </w:tc>
        <w:tc>
          <w:tcPr>
            <w:tcW w:w="886" w:type="dxa"/>
            <w:tcBorders>
              <w:top w:val="nil"/>
              <w:left w:val="nil"/>
              <w:bottom w:val="nil"/>
              <w:right w:val="nil"/>
            </w:tcBorders>
            <w:shd w:val="clear" w:color="000000" w:fill="CAE7F3"/>
            <w:noWrap/>
            <w:hideMark/>
          </w:tcPr>
          <w:p w14:paraId="040DE633" w14:textId="77777777" w:rsidR="009203C3" w:rsidRPr="00060581" w:rsidRDefault="009203C3" w:rsidP="00FB0286">
            <w:pPr>
              <w:spacing w:after="0" w:line="480" w:lineRule="auto"/>
              <w:ind w:left="0"/>
              <w:jc w:val="right"/>
              <w:rPr>
                <w:rFonts w:eastAsia="Times New Roman" w:cs="Arial"/>
                <w:sz w:val="18"/>
                <w:szCs w:val="18"/>
                <w:lang w:eastAsia="en-AU"/>
              </w:rPr>
            </w:pPr>
            <w:r w:rsidRPr="00CB4EBE">
              <w:rPr>
                <w:sz w:val="18"/>
                <w:szCs w:val="18"/>
              </w:rPr>
              <w:t xml:space="preserve"> 55.5 </w:t>
            </w:r>
          </w:p>
        </w:tc>
        <w:tc>
          <w:tcPr>
            <w:tcW w:w="1223" w:type="dxa"/>
            <w:tcBorders>
              <w:top w:val="nil"/>
              <w:left w:val="nil"/>
              <w:bottom w:val="nil"/>
              <w:right w:val="nil"/>
            </w:tcBorders>
            <w:shd w:val="clear" w:color="000000" w:fill="CAE7F3"/>
            <w:noWrap/>
            <w:hideMark/>
          </w:tcPr>
          <w:p w14:paraId="2444E315" w14:textId="77777777" w:rsidR="009203C3" w:rsidRPr="00060581" w:rsidRDefault="009203C3" w:rsidP="00FB0286">
            <w:pPr>
              <w:spacing w:after="0" w:line="480" w:lineRule="auto"/>
              <w:ind w:left="0"/>
              <w:jc w:val="right"/>
              <w:rPr>
                <w:rFonts w:eastAsia="Times New Roman" w:cs="Arial"/>
                <w:sz w:val="18"/>
                <w:szCs w:val="18"/>
                <w:lang w:eastAsia="en-AU"/>
              </w:rPr>
            </w:pPr>
            <w:r w:rsidRPr="00CB4EBE">
              <w:rPr>
                <w:sz w:val="18"/>
                <w:szCs w:val="18"/>
              </w:rPr>
              <w:t xml:space="preserve"> 0.9</w:t>
            </w:r>
          </w:p>
        </w:tc>
        <w:tc>
          <w:tcPr>
            <w:tcW w:w="278" w:type="dxa"/>
            <w:tcBorders>
              <w:top w:val="nil"/>
              <w:left w:val="nil"/>
              <w:bottom w:val="nil"/>
              <w:right w:val="nil"/>
            </w:tcBorders>
            <w:shd w:val="clear" w:color="000000" w:fill="CAE7F3"/>
            <w:noWrap/>
            <w:hideMark/>
          </w:tcPr>
          <w:p w14:paraId="01C86B15" w14:textId="77777777" w:rsidR="009203C3" w:rsidRPr="00060581" w:rsidRDefault="009203C3" w:rsidP="00FB0286">
            <w:pPr>
              <w:spacing w:after="0" w:line="480" w:lineRule="auto"/>
              <w:ind w:left="0"/>
              <w:jc w:val="right"/>
              <w:rPr>
                <w:rFonts w:eastAsia="Times New Roman" w:cs="Arial"/>
                <w:sz w:val="18"/>
                <w:szCs w:val="18"/>
                <w:lang w:eastAsia="en-AU"/>
              </w:rPr>
            </w:pPr>
          </w:p>
        </w:tc>
        <w:tc>
          <w:tcPr>
            <w:tcW w:w="1226" w:type="dxa"/>
            <w:tcBorders>
              <w:top w:val="nil"/>
              <w:left w:val="nil"/>
              <w:bottom w:val="nil"/>
              <w:right w:val="nil"/>
            </w:tcBorders>
            <w:shd w:val="clear" w:color="000000" w:fill="CAE7F3"/>
            <w:noWrap/>
            <w:hideMark/>
          </w:tcPr>
          <w:p w14:paraId="00C0BEED" w14:textId="77777777" w:rsidR="009203C3" w:rsidRPr="00060581" w:rsidRDefault="009203C3" w:rsidP="00FB0286">
            <w:pPr>
              <w:spacing w:after="0" w:line="480" w:lineRule="auto"/>
              <w:ind w:left="0"/>
              <w:jc w:val="right"/>
              <w:rPr>
                <w:rFonts w:eastAsia="Times New Roman" w:cs="Arial"/>
                <w:sz w:val="18"/>
                <w:szCs w:val="18"/>
                <w:lang w:eastAsia="en-AU"/>
              </w:rPr>
            </w:pPr>
            <w:r w:rsidRPr="00CB4EBE">
              <w:rPr>
                <w:sz w:val="18"/>
                <w:szCs w:val="18"/>
              </w:rPr>
              <w:t>-5.9</w:t>
            </w:r>
          </w:p>
        </w:tc>
        <w:tc>
          <w:tcPr>
            <w:tcW w:w="1192" w:type="dxa"/>
            <w:tcBorders>
              <w:top w:val="nil"/>
              <w:left w:val="nil"/>
              <w:bottom w:val="nil"/>
              <w:right w:val="nil"/>
            </w:tcBorders>
            <w:shd w:val="clear" w:color="000000" w:fill="CAE7F3"/>
            <w:noWrap/>
            <w:hideMark/>
          </w:tcPr>
          <w:p w14:paraId="7D6949B6" w14:textId="77777777" w:rsidR="009203C3" w:rsidRPr="00060581" w:rsidRDefault="009203C3" w:rsidP="00FB0286">
            <w:pPr>
              <w:spacing w:after="0" w:line="480" w:lineRule="auto"/>
              <w:ind w:left="0"/>
              <w:jc w:val="right"/>
              <w:rPr>
                <w:rFonts w:eastAsia="Times New Roman" w:cs="Arial"/>
                <w:sz w:val="18"/>
                <w:szCs w:val="18"/>
                <w:lang w:eastAsia="en-AU"/>
              </w:rPr>
            </w:pPr>
            <w:r w:rsidRPr="00CB4EBE">
              <w:rPr>
                <w:sz w:val="18"/>
                <w:szCs w:val="18"/>
              </w:rPr>
              <w:t>-3.1</w:t>
            </w:r>
          </w:p>
        </w:tc>
      </w:tr>
      <w:tr w:rsidR="009203C3" w:rsidRPr="001F1F3C" w14:paraId="7CFFEA3F" w14:textId="77777777" w:rsidTr="00FB0286">
        <w:trPr>
          <w:trHeight w:val="240"/>
        </w:trPr>
        <w:tc>
          <w:tcPr>
            <w:tcW w:w="2089" w:type="dxa"/>
            <w:tcBorders>
              <w:top w:val="nil"/>
              <w:left w:val="nil"/>
              <w:bottom w:val="nil"/>
              <w:right w:val="nil"/>
            </w:tcBorders>
            <w:shd w:val="clear" w:color="000000" w:fill="CAE7F3"/>
            <w:noWrap/>
            <w:hideMark/>
          </w:tcPr>
          <w:p w14:paraId="1B99AD69" w14:textId="77777777" w:rsidR="009203C3" w:rsidRPr="00060581" w:rsidRDefault="009203C3" w:rsidP="00FB0286">
            <w:pPr>
              <w:spacing w:after="0" w:line="360" w:lineRule="auto"/>
              <w:ind w:left="0"/>
              <w:jc w:val="left"/>
              <w:rPr>
                <w:rFonts w:eastAsia="Times New Roman" w:cs="Arial"/>
                <w:b/>
                <w:bCs/>
                <w:sz w:val="18"/>
                <w:szCs w:val="18"/>
                <w:lang w:eastAsia="en-AU"/>
              </w:rPr>
            </w:pPr>
            <w:r w:rsidRPr="00CB4EBE">
              <w:rPr>
                <w:b/>
                <w:sz w:val="18"/>
                <w:szCs w:val="18"/>
              </w:rPr>
              <w:t>Total</w:t>
            </w:r>
          </w:p>
        </w:tc>
        <w:tc>
          <w:tcPr>
            <w:tcW w:w="886" w:type="dxa"/>
            <w:tcBorders>
              <w:top w:val="nil"/>
              <w:left w:val="nil"/>
              <w:bottom w:val="nil"/>
              <w:right w:val="nil"/>
            </w:tcBorders>
            <w:shd w:val="clear" w:color="000000" w:fill="CAE7F3"/>
            <w:noWrap/>
            <w:hideMark/>
          </w:tcPr>
          <w:p w14:paraId="719E47F1" w14:textId="77777777" w:rsidR="009203C3" w:rsidRPr="00060581" w:rsidRDefault="009203C3" w:rsidP="00FB0286">
            <w:pPr>
              <w:spacing w:after="0" w:line="360" w:lineRule="auto"/>
              <w:ind w:left="0"/>
              <w:jc w:val="right"/>
              <w:rPr>
                <w:rFonts w:eastAsia="Times New Roman" w:cs="Arial"/>
                <w:b/>
                <w:bCs/>
                <w:sz w:val="18"/>
                <w:szCs w:val="18"/>
                <w:lang w:eastAsia="en-AU"/>
              </w:rPr>
            </w:pPr>
            <w:r w:rsidRPr="00CB4EBE">
              <w:rPr>
                <w:b/>
                <w:sz w:val="18"/>
                <w:szCs w:val="18"/>
              </w:rPr>
              <w:t xml:space="preserve"> 6,145.8 </w:t>
            </w:r>
          </w:p>
        </w:tc>
        <w:tc>
          <w:tcPr>
            <w:tcW w:w="1223" w:type="dxa"/>
            <w:tcBorders>
              <w:top w:val="nil"/>
              <w:left w:val="nil"/>
              <w:bottom w:val="nil"/>
              <w:right w:val="nil"/>
            </w:tcBorders>
            <w:shd w:val="clear" w:color="000000" w:fill="CAE7F3"/>
            <w:noWrap/>
            <w:hideMark/>
          </w:tcPr>
          <w:p w14:paraId="603AEE99" w14:textId="77777777" w:rsidR="009203C3" w:rsidRPr="00060581" w:rsidRDefault="009203C3" w:rsidP="00FB0286">
            <w:pPr>
              <w:spacing w:after="0" w:line="360" w:lineRule="auto"/>
              <w:ind w:left="0"/>
              <w:jc w:val="right"/>
              <w:rPr>
                <w:rFonts w:eastAsia="Times New Roman" w:cs="Arial"/>
                <w:b/>
                <w:bCs/>
                <w:sz w:val="18"/>
                <w:szCs w:val="18"/>
                <w:lang w:eastAsia="en-AU"/>
              </w:rPr>
            </w:pPr>
            <w:r w:rsidRPr="00CB4EBE">
              <w:rPr>
                <w:b/>
                <w:sz w:val="18"/>
                <w:szCs w:val="18"/>
              </w:rPr>
              <w:t xml:space="preserve"> 100.0</w:t>
            </w:r>
          </w:p>
        </w:tc>
        <w:tc>
          <w:tcPr>
            <w:tcW w:w="278" w:type="dxa"/>
            <w:tcBorders>
              <w:top w:val="nil"/>
              <w:left w:val="nil"/>
              <w:bottom w:val="nil"/>
              <w:right w:val="nil"/>
            </w:tcBorders>
            <w:shd w:val="clear" w:color="000000" w:fill="CAE7F3"/>
            <w:noWrap/>
            <w:hideMark/>
          </w:tcPr>
          <w:p w14:paraId="4FE03BC6" w14:textId="77777777" w:rsidR="009203C3" w:rsidRPr="00060581" w:rsidRDefault="009203C3" w:rsidP="00FB0286">
            <w:pPr>
              <w:spacing w:after="0" w:line="360" w:lineRule="auto"/>
              <w:ind w:left="0"/>
              <w:jc w:val="right"/>
              <w:rPr>
                <w:rFonts w:eastAsia="Times New Roman" w:cs="Arial"/>
                <w:b/>
                <w:bCs/>
                <w:sz w:val="18"/>
                <w:szCs w:val="18"/>
                <w:lang w:eastAsia="en-AU"/>
              </w:rPr>
            </w:pPr>
          </w:p>
        </w:tc>
        <w:tc>
          <w:tcPr>
            <w:tcW w:w="1226" w:type="dxa"/>
            <w:tcBorders>
              <w:top w:val="nil"/>
              <w:left w:val="nil"/>
              <w:bottom w:val="nil"/>
              <w:right w:val="nil"/>
            </w:tcBorders>
            <w:shd w:val="clear" w:color="000000" w:fill="CAE7F3"/>
            <w:noWrap/>
            <w:hideMark/>
          </w:tcPr>
          <w:p w14:paraId="6861ECC0" w14:textId="77777777" w:rsidR="009203C3" w:rsidRPr="00060581" w:rsidRDefault="009203C3" w:rsidP="00FB0286">
            <w:pPr>
              <w:spacing w:after="0" w:line="360" w:lineRule="auto"/>
              <w:ind w:left="0"/>
              <w:jc w:val="right"/>
              <w:rPr>
                <w:rFonts w:eastAsia="Times New Roman" w:cs="Arial"/>
                <w:b/>
                <w:bCs/>
                <w:sz w:val="18"/>
                <w:szCs w:val="18"/>
                <w:lang w:eastAsia="en-AU"/>
              </w:rPr>
            </w:pPr>
            <w:r w:rsidRPr="00CB4EBE">
              <w:rPr>
                <w:b/>
                <w:sz w:val="18"/>
                <w:szCs w:val="18"/>
              </w:rPr>
              <w:t>1.1</w:t>
            </w:r>
          </w:p>
        </w:tc>
        <w:tc>
          <w:tcPr>
            <w:tcW w:w="1192" w:type="dxa"/>
            <w:tcBorders>
              <w:top w:val="nil"/>
              <w:left w:val="nil"/>
              <w:bottom w:val="nil"/>
              <w:right w:val="nil"/>
            </w:tcBorders>
            <w:shd w:val="clear" w:color="000000" w:fill="CAE7F3"/>
            <w:noWrap/>
            <w:hideMark/>
          </w:tcPr>
          <w:p w14:paraId="0FC46914" w14:textId="77777777" w:rsidR="009203C3" w:rsidRPr="00060581" w:rsidRDefault="009203C3" w:rsidP="00FB0286">
            <w:pPr>
              <w:spacing w:after="0" w:line="360" w:lineRule="auto"/>
              <w:ind w:left="0"/>
              <w:jc w:val="right"/>
              <w:rPr>
                <w:rFonts w:eastAsia="Times New Roman" w:cs="Arial"/>
                <w:b/>
                <w:bCs/>
                <w:sz w:val="18"/>
                <w:szCs w:val="18"/>
                <w:lang w:eastAsia="en-AU"/>
              </w:rPr>
            </w:pPr>
            <w:r w:rsidRPr="00CB4EBE">
              <w:rPr>
                <w:b/>
                <w:sz w:val="18"/>
                <w:szCs w:val="18"/>
              </w:rPr>
              <w:t>0.8</w:t>
            </w:r>
          </w:p>
        </w:tc>
      </w:tr>
    </w:tbl>
    <w:p w14:paraId="00CA65C2" w14:textId="77777777" w:rsidR="009203C3" w:rsidRPr="001F1F3C" w:rsidRDefault="009203C3" w:rsidP="009203C3">
      <w:pPr>
        <w:pStyle w:val="Source"/>
        <w:rPr>
          <w:color w:val="595A5B" w:themeColor="text1"/>
        </w:rPr>
      </w:pPr>
      <w:r w:rsidRPr="001F1F3C">
        <w:rPr>
          <w:color w:val="595A5B" w:themeColor="text1"/>
        </w:rPr>
        <w:t>Source:</w:t>
      </w:r>
      <w:r w:rsidRPr="001F1F3C">
        <w:rPr>
          <w:color w:val="595A5B" w:themeColor="text1"/>
          <w:szCs w:val="16"/>
        </w:rPr>
        <w:t xml:space="preserve"> Department of the Environment and Energy (2018</w:t>
      </w:r>
      <w:r w:rsidRPr="001F1F3C">
        <w:rPr>
          <w:color w:val="595A5B" w:themeColor="text1"/>
        </w:rPr>
        <w:t xml:space="preserve">) </w:t>
      </w:r>
      <w:r w:rsidRPr="001F1F3C">
        <w:rPr>
          <w:i/>
          <w:color w:val="595A5B" w:themeColor="text1"/>
        </w:rPr>
        <w:t>Australian Energy Statistics</w:t>
      </w:r>
      <w:r w:rsidRPr="001F1F3C">
        <w:rPr>
          <w:color w:val="595A5B" w:themeColor="text1"/>
        </w:rPr>
        <w:t xml:space="preserve">, </w:t>
      </w:r>
      <w:r w:rsidRPr="001F1F3C">
        <w:rPr>
          <w:color w:val="595A5B" w:themeColor="text1"/>
        </w:rPr>
        <w:br/>
        <w:t>Table E</w:t>
      </w:r>
    </w:p>
    <w:p w14:paraId="387B7172" w14:textId="4952F934" w:rsidR="009203C3" w:rsidRPr="001F1F3C" w:rsidRDefault="000678FE" w:rsidP="00082FE6">
      <w:pPr>
        <w:pStyle w:val="Caption"/>
        <w:ind w:left="-1985"/>
      </w:pPr>
      <w:bookmarkStart w:id="75" w:name="_Toc523777419"/>
      <w:r>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rsidR="003348D2">
        <w:t>.</w:t>
      </w:r>
      <w:r w:rsidR="00941B67">
        <w:rPr>
          <w:noProof/>
        </w:rPr>
        <w:fldChar w:fldCharType="begin"/>
      </w:r>
      <w:r w:rsidR="00941B67">
        <w:rPr>
          <w:noProof/>
        </w:rPr>
        <w:instrText xml:space="preserve"> SEQ Figure \* ARABIC \s 1 </w:instrText>
      </w:r>
      <w:r w:rsidR="00941B67">
        <w:rPr>
          <w:noProof/>
        </w:rPr>
        <w:fldChar w:fldCharType="separate"/>
      </w:r>
      <w:r w:rsidR="00D72ABB">
        <w:rPr>
          <w:noProof/>
        </w:rPr>
        <w:t>4</w:t>
      </w:r>
      <w:r w:rsidR="00941B67">
        <w:rPr>
          <w:noProof/>
        </w:rPr>
        <w:fldChar w:fldCharType="end"/>
      </w:r>
      <w:r>
        <w:t xml:space="preserve">: </w:t>
      </w:r>
      <w:r w:rsidR="009203C3" w:rsidRPr="001F1F3C">
        <w:t>Australian energy consumption, by sector</w:t>
      </w:r>
      <w:bookmarkEnd w:id="75"/>
      <w:r w:rsidR="009203C3" w:rsidRPr="001F1F3C">
        <w:t xml:space="preserve"> </w:t>
      </w:r>
    </w:p>
    <w:tbl>
      <w:tblPr>
        <w:tblStyle w:val="OCETable"/>
        <w:tblW w:w="6374" w:type="pct"/>
        <w:tblInd w:w="-1985" w:type="dxa"/>
        <w:tblLayout w:type="fixed"/>
        <w:tblLook w:val="04A0" w:firstRow="1" w:lastRow="0" w:firstColumn="1" w:lastColumn="0" w:noHBand="0" w:noVBand="1"/>
        <w:tblCaption w:val="Placeholder obejct only"/>
      </w:tblPr>
      <w:tblGrid>
        <w:gridCol w:w="8788"/>
      </w:tblGrid>
      <w:tr w:rsidR="009203C3" w:rsidRPr="001F1F3C" w14:paraId="307B7EC7" w14:textId="77777777" w:rsidTr="00D846CB">
        <w:trPr>
          <w:cnfStyle w:val="100000000000" w:firstRow="1" w:lastRow="0" w:firstColumn="0" w:lastColumn="0" w:oddVBand="0" w:evenVBand="0" w:oddHBand="0" w:evenHBand="0" w:firstRowFirstColumn="0" w:firstRowLastColumn="0" w:lastRowFirstColumn="0" w:lastRowLastColumn="0"/>
          <w:tblHeader/>
        </w:trPr>
        <w:tc>
          <w:tcPr>
            <w:tcW w:w="8788" w:type="dxa"/>
            <w:shd w:val="clear" w:color="auto" w:fill="auto"/>
          </w:tcPr>
          <w:p w14:paraId="72BBFA3A" w14:textId="4617352E" w:rsidR="009203C3" w:rsidRPr="001F1F3C" w:rsidRDefault="006860D1" w:rsidP="00FB0286">
            <w:pPr>
              <w:pStyle w:val="PlaceholderWide"/>
              <w:jc w:val="left"/>
            </w:pPr>
            <w:r>
              <w:rPr>
                <w:noProof/>
                <w:lang w:eastAsia="en-AU"/>
              </w:rPr>
              <w:drawing>
                <wp:inline distT="0" distB="0" distL="0" distR="0" wp14:anchorId="2A13946E" wp14:editId="2C8A4302">
                  <wp:extent cx="5407660" cy="3249295"/>
                  <wp:effectExtent l="0" t="0" r="2540" b="8255"/>
                  <wp:docPr id="19" name="Picture 19" descr="The figure shows Australian energy consumption, by sector, in petajoules from 1976-77 to 2016-17" title="Figure 2.4: Australian energy consumption, by s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7660" cy="3249295"/>
                          </a:xfrm>
                          <a:prstGeom prst="rect">
                            <a:avLst/>
                          </a:prstGeom>
                          <a:noFill/>
                        </pic:spPr>
                      </pic:pic>
                    </a:graphicData>
                  </a:graphic>
                </wp:inline>
              </w:drawing>
            </w:r>
          </w:p>
        </w:tc>
      </w:tr>
    </w:tbl>
    <w:p w14:paraId="0CBB6DF1" w14:textId="77777777" w:rsidR="009203C3" w:rsidRPr="001F1F3C" w:rsidRDefault="009203C3" w:rsidP="009203C3">
      <w:pPr>
        <w:pStyle w:val="SourceWide"/>
        <w:spacing w:after="480"/>
        <w:rPr>
          <w:color w:val="595A5B" w:themeColor="text1"/>
        </w:rPr>
      </w:pPr>
      <w:r w:rsidRPr="001F1F3C">
        <w:rPr>
          <w:color w:val="595A5B" w:themeColor="text1"/>
        </w:rPr>
        <w:t xml:space="preserve">Source: </w:t>
      </w:r>
      <w:r w:rsidRPr="001F1F3C">
        <w:rPr>
          <w:color w:val="595A5B" w:themeColor="text1"/>
          <w:szCs w:val="16"/>
        </w:rPr>
        <w:t>Department of the Environment and Energy (2018</w:t>
      </w:r>
      <w:r w:rsidRPr="001F1F3C">
        <w:rPr>
          <w:color w:val="595A5B" w:themeColor="text1"/>
        </w:rPr>
        <w:t xml:space="preserve">) </w:t>
      </w:r>
      <w:r w:rsidRPr="001F1F3C">
        <w:rPr>
          <w:i/>
          <w:color w:val="595A5B" w:themeColor="text1"/>
        </w:rPr>
        <w:t>Australian Energy Statistics</w:t>
      </w:r>
      <w:r w:rsidRPr="001F1F3C">
        <w:rPr>
          <w:color w:val="595A5B" w:themeColor="text1"/>
        </w:rPr>
        <w:t xml:space="preserve">, Table E </w:t>
      </w:r>
    </w:p>
    <w:p w14:paraId="3A6C371B" w14:textId="5855E059" w:rsidR="009203C3" w:rsidRPr="001F1F3C" w:rsidRDefault="000678FE" w:rsidP="00082FE6">
      <w:pPr>
        <w:pStyle w:val="Caption"/>
      </w:pPr>
      <w:bookmarkStart w:id="76" w:name="_Toc522199773"/>
      <w:bookmarkStart w:id="77" w:name="_Toc522635716"/>
      <w:r>
        <w:lastRenderedPageBreak/>
        <w:t xml:space="preserve">Table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rsidR="00C1400E">
        <w:t>.</w:t>
      </w:r>
      <w:r w:rsidR="00941B67">
        <w:rPr>
          <w:noProof/>
        </w:rPr>
        <w:fldChar w:fldCharType="begin"/>
      </w:r>
      <w:r w:rsidR="00941B67">
        <w:rPr>
          <w:noProof/>
        </w:rPr>
        <w:instrText xml:space="preserve"> SEQ Table \* ARABIC \s 1 </w:instrText>
      </w:r>
      <w:r w:rsidR="00941B67">
        <w:rPr>
          <w:noProof/>
        </w:rPr>
        <w:fldChar w:fldCharType="separate"/>
      </w:r>
      <w:r w:rsidR="00D72ABB">
        <w:rPr>
          <w:noProof/>
        </w:rPr>
        <w:t>4</w:t>
      </w:r>
      <w:r w:rsidR="00941B67">
        <w:rPr>
          <w:noProof/>
        </w:rPr>
        <w:fldChar w:fldCharType="end"/>
      </w:r>
      <w:r>
        <w:t xml:space="preserve">: </w:t>
      </w:r>
      <w:r w:rsidR="009203C3" w:rsidRPr="001F1F3C">
        <w:t>Australian transport energy consumption, by subsector</w:t>
      </w:r>
      <w:bookmarkEnd w:id="76"/>
      <w:bookmarkEnd w:id="77"/>
    </w:p>
    <w:tbl>
      <w:tblPr>
        <w:tblW w:w="6894" w:type="dxa"/>
        <w:tblLook w:val="04A0" w:firstRow="1" w:lastRow="0" w:firstColumn="1" w:lastColumn="0" w:noHBand="0" w:noVBand="1"/>
      </w:tblPr>
      <w:tblGrid>
        <w:gridCol w:w="1276"/>
        <w:gridCol w:w="1276"/>
        <w:gridCol w:w="1134"/>
        <w:gridCol w:w="696"/>
        <w:gridCol w:w="1147"/>
        <w:gridCol w:w="1365"/>
      </w:tblGrid>
      <w:tr w:rsidR="009203C3" w:rsidRPr="001F1F3C" w14:paraId="2A6BE1B0" w14:textId="77777777" w:rsidTr="00DE6AFF">
        <w:trPr>
          <w:trHeight w:val="285"/>
        </w:trPr>
        <w:tc>
          <w:tcPr>
            <w:tcW w:w="1276" w:type="dxa"/>
            <w:tcBorders>
              <w:top w:val="nil"/>
              <w:left w:val="nil"/>
              <w:bottom w:val="nil"/>
              <w:right w:val="nil"/>
            </w:tcBorders>
            <w:shd w:val="clear" w:color="000000" w:fill="22789A"/>
            <w:noWrap/>
            <w:vAlign w:val="bottom"/>
            <w:hideMark/>
          </w:tcPr>
          <w:p w14:paraId="648ADF86" w14:textId="77777777" w:rsidR="009203C3" w:rsidRPr="001F1F3C" w:rsidRDefault="009203C3" w:rsidP="00FB0286">
            <w:pPr>
              <w:spacing w:after="0" w:line="24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410" w:type="dxa"/>
            <w:gridSpan w:val="2"/>
            <w:tcBorders>
              <w:top w:val="nil"/>
              <w:left w:val="nil"/>
              <w:bottom w:val="nil"/>
              <w:right w:val="nil"/>
            </w:tcBorders>
            <w:shd w:val="clear" w:color="000000" w:fill="22789A"/>
            <w:noWrap/>
            <w:vAlign w:val="center"/>
            <w:hideMark/>
          </w:tcPr>
          <w:p w14:paraId="3EADF3EB" w14:textId="77777777" w:rsidR="009203C3" w:rsidRPr="001F1F3C" w:rsidRDefault="009203C3" w:rsidP="00FB0286">
            <w:pPr>
              <w:spacing w:after="0" w:line="24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2016–17</w:t>
            </w:r>
          </w:p>
        </w:tc>
        <w:tc>
          <w:tcPr>
            <w:tcW w:w="696" w:type="dxa"/>
            <w:tcBorders>
              <w:top w:val="nil"/>
              <w:left w:val="nil"/>
              <w:bottom w:val="nil"/>
              <w:right w:val="nil"/>
            </w:tcBorders>
            <w:shd w:val="clear" w:color="000000" w:fill="22789A"/>
            <w:noWrap/>
            <w:vAlign w:val="bottom"/>
            <w:hideMark/>
          </w:tcPr>
          <w:p w14:paraId="327348DA" w14:textId="77777777" w:rsidR="009203C3" w:rsidRPr="001F1F3C" w:rsidRDefault="009203C3" w:rsidP="00FB0286">
            <w:pPr>
              <w:spacing w:after="0" w:line="24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512" w:type="dxa"/>
            <w:gridSpan w:val="2"/>
            <w:tcBorders>
              <w:top w:val="nil"/>
              <w:left w:val="nil"/>
              <w:bottom w:val="nil"/>
              <w:right w:val="nil"/>
            </w:tcBorders>
            <w:shd w:val="clear" w:color="000000" w:fill="22789A"/>
            <w:noWrap/>
            <w:vAlign w:val="center"/>
            <w:hideMark/>
          </w:tcPr>
          <w:p w14:paraId="0BBE9BCE" w14:textId="77777777" w:rsidR="009203C3" w:rsidRPr="001F1F3C" w:rsidRDefault="009203C3" w:rsidP="00FB0286">
            <w:pPr>
              <w:spacing w:after="0" w:line="24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Average annual growth</w:t>
            </w:r>
          </w:p>
        </w:tc>
      </w:tr>
      <w:tr w:rsidR="009203C3" w:rsidRPr="001F1F3C" w14:paraId="0E9FB996" w14:textId="77777777" w:rsidTr="00DE6AFF">
        <w:trPr>
          <w:trHeight w:val="300"/>
        </w:trPr>
        <w:tc>
          <w:tcPr>
            <w:tcW w:w="1276" w:type="dxa"/>
            <w:vMerge w:val="restart"/>
            <w:tcBorders>
              <w:top w:val="nil"/>
              <w:left w:val="nil"/>
              <w:bottom w:val="nil"/>
              <w:right w:val="nil"/>
            </w:tcBorders>
            <w:shd w:val="clear" w:color="000000" w:fill="CAE7F3"/>
            <w:noWrap/>
            <w:vAlign w:val="bottom"/>
            <w:hideMark/>
          </w:tcPr>
          <w:p w14:paraId="07BDEB17" w14:textId="77777777" w:rsidR="009203C3" w:rsidRPr="001F1F3C" w:rsidRDefault="009203C3" w:rsidP="00FB0286">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1276" w:type="dxa"/>
            <w:vMerge w:val="restart"/>
            <w:tcBorders>
              <w:top w:val="nil"/>
              <w:left w:val="nil"/>
              <w:bottom w:val="nil"/>
              <w:right w:val="nil"/>
            </w:tcBorders>
            <w:shd w:val="clear" w:color="000000" w:fill="CAE7F3"/>
            <w:noWrap/>
            <w:vAlign w:val="center"/>
            <w:hideMark/>
          </w:tcPr>
          <w:p w14:paraId="1BF09624" w14:textId="77777777" w:rsidR="009203C3" w:rsidRPr="001F1F3C" w:rsidRDefault="009203C3" w:rsidP="00FB0286">
            <w:pPr>
              <w:spacing w:after="0" w:line="360" w:lineRule="auto"/>
              <w:ind w:left="0"/>
              <w:jc w:val="right"/>
              <w:rPr>
                <w:rFonts w:eastAsia="Times New Roman" w:cs="Arial"/>
                <w:sz w:val="18"/>
                <w:szCs w:val="18"/>
                <w:lang w:eastAsia="en-AU"/>
              </w:rPr>
            </w:pPr>
            <w:r w:rsidRPr="001F1F3C">
              <w:rPr>
                <w:rFonts w:eastAsia="Times New Roman" w:cs="Arial"/>
                <w:color w:val="595A5B" w:themeColor="text2"/>
                <w:sz w:val="18"/>
                <w:szCs w:val="18"/>
                <w:lang w:eastAsia="en-AU"/>
              </w:rPr>
              <w:t>PJ</w:t>
            </w:r>
          </w:p>
        </w:tc>
        <w:tc>
          <w:tcPr>
            <w:tcW w:w="1134" w:type="dxa"/>
            <w:tcBorders>
              <w:top w:val="nil"/>
              <w:left w:val="nil"/>
              <w:bottom w:val="nil"/>
              <w:right w:val="nil"/>
            </w:tcBorders>
            <w:shd w:val="clear" w:color="000000" w:fill="CAE7F3"/>
            <w:noWrap/>
            <w:vAlign w:val="center"/>
            <w:hideMark/>
          </w:tcPr>
          <w:p w14:paraId="77BCB32C" w14:textId="77777777" w:rsidR="009203C3" w:rsidRPr="001F1F3C" w:rsidRDefault="009203C3" w:rsidP="00FB0286">
            <w:pPr>
              <w:spacing w:after="0" w:line="360" w:lineRule="auto"/>
              <w:ind w:left="0"/>
              <w:jc w:val="right"/>
              <w:rPr>
                <w:rFonts w:eastAsia="Times New Roman" w:cs="Arial"/>
                <w:sz w:val="18"/>
                <w:szCs w:val="18"/>
                <w:lang w:eastAsia="en-AU"/>
              </w:rPr>
            </w:pPr>
            <w:r w:rsidRPr="001F1F3C">
              <w:rPr>
                <w:rFonts w:eastAsia="Times New Roman" w:cs="Arial"/>
                <w:color w:val="595A5B" w:themeColor="text2"/>
                <w:sz w:val="18"/>
                <w:szCs w:val="18"/>
                <w:lang w:eastAsia="en-AU"/>
              </w:rPr>
              <w:t>share</w:t>
            </w:r>
          </w:p>
        </w:tc>
        <w:tc>
          <w:tcPr>
            <w:tcW w:w="696" w:type="dxa"/>
            <w:vMerge w:val="restart"/>
            <w:tcBorders>
              <w:top w:val="nil"/>
              <w:left w:val="nil"/>
              <w:bottom w:val="nil"/>
              <w:right w:val="nil"/>
            </w:tcBorders>
            <w:shd w:val="clear" w:color="000000" w:fill="CAE7F3"/>
            <w:noWrap/>
            <w:vAlign w:val="bottom"/>
            <w:hideMark/>
          </w:tcPr>
          <w:p w14:paraId="1D32A5DC" w14:textId="77777777" w:rsidR="009203C3" w:rsidRPr="001F1F3C" w:rsidRDefault="009203C3" w:rsidP="00FB0286">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1147" w:type="dxa"/>
            <w:tcBorders>
              <w:top w:val="nil"/>
              <w:left w:val="nil"/>
              <w:bottom w:val="nil"/>
              <w:right w:val="nil"/>
            </w:tcBorders>
            <w:shd w:val="clear" w:color="000000" w:fill="CAE7F3"/>
            <w:noWrap/>
            <w:vAlign w:val="center"/>
            <w:hideMark/>
          </w:tcPr>
          <w:p w14:paraId="3B119A9A" w14:textId="77777777" w:rsidR="009203C3" w:rsidRPr="001F1F3C" w:rsidRDefault="009203C3" w:rsidP="00FB0286">
            <w:pPr>
              <w:spacing w:after="0" w:line="360" w:lineRule="auto"/>
              <w:ind w:left="0"/>
              <w:jc w:val="right"/>
              <w:rPr>
                <w:rFonts w:eastAsia="Times New Roman" w:cs="Arial"/>
                <w:sz w:val="18"/>
                <w:szCs w:val="18"/>
                <w:lang w:eastAsia="en-AU"/>
              </w:rPr>
            </w:pPr>
            <w:r w:rsidRPr="001F1F3C">
              <w:rPr>
                <w:rFonts w:eastAsia="Times New Roman" w:cs="Arial"/>
                <w:color w:val="595A5B" w:themeColor="text2"/>
                <w:sz w:val="18"/>
                <w:szCs w:val="18"/>
                <w:lang w:eastAsia="en-AU"/>
              </w:rPr>
              <w:t>2016–17</w:t>
            </w:r>
          </w:p>
        </w:tc>
        <w:tc>
          <w:tcPr>
            <w:tcW w:w="1365" w:type="dxa"/>
            <w:tcBorders>
              <w:top w:val="nil"/>
              <w:left w:val="nil"/>
              <w:bottom w:val="nil"/>
              <w:right w:val="nil"/>
            </w:tcBorders>
            <w:shd w:val="clear" w:color="000000" w:fill="CAE7F3"/>
            <w:noWrap/>
            <w:vAlign w:val="center"/>
            <w:hideMark/>
          </w:tcPr>
          <w:p w14:paraId="2D64C9D5" w14:textId="77777777" w:rsidR="009203C3" w:rsidRPr="001F1F3C" w:rsidRDefault="009203C3" w:rsidP="00FB0286">
            <w:pPr>
              <w:spacing w:after="0" w:line="360" w:lineRule="auto"/>
              <w:ind w:left="0"/>
              <w:jc w:val="right"/>
              <w:rPr>
                <w:rFonts w:eastAsia="Times New Roman" w:cs="Arial"/>
                <w:sz w:val="18"/>
                <w:szCs w:val="18"/>
                <w:lang w:eastAsia="en-AU"/>
              </w:rPr>
            </w:pPr>
            <w:r w:rsidRPr="001F1F3C">
              <w:rPr>
                <w:rFonts w:eastAsia="Times New Roman" w:cs="Arial"/>
                <w:color w:val="595A5B" w:themeColor="text2"/>
                <w:sz w:val="18"/>
                <w:szCs w:val="18"/>
                <w:lang w:eastAsia="en-AU"/>
              </w:rPr>
              <w:t>10 years</w:t>
            </w:r>
          </w:p>
        </w:tc>
      </w:tr>
      <w:tr w:rsidR="009203C3" w:rsidRPr="001F1F3C" w14:paraId="58DB1712" w14:textId="77777777" w:rsidTr="00DE6AFF">
        <w:trPr>
          <w:trHeight w:val="300"/>
        </w:trPr>
        <w:tc>
          <w:tcPr>
            <w:tcW w:w="1276" w:type="dxa"/>
            <w:vMerge/>
            <w:tcBorders>
              <w:top w:val="nil"/>
              <w:left w:val="nil"/>
              <w:bottom w:val="nil"/>
              <w:right w:val="nil"/>
            </w:tcBorders>
            <w:vAlign w:val="center"/>
            <w:hideMark/>
          </w:tcPr>
          <w:p w14:paraId="209F74BA" w14:textId="77777777" w:rsidR="009203C3" w:rsidRPr="001F1F3C" w:rsidRDefault="009203C3" w:rsidP="00FB0286">
            <w:pPr>
              <w:spacing w:after="0" w:line="360" w:lineRule="auto"/>
              <w:ind w:left="0"/>
              <w:jc w:val="left"/>
              <w:rPr>
                <w:rFonts w:eastAsia="Times New Roman" w:cs="Arial"/>
                <w:color w:val="000000"/>
                <w:sz w:val="22"/>
                <w:lang w:eastAsia="en-AU"/>
              </w:rPr>
            </w:pPr>
          </w:p>
        </w:tc>
        <w:tc>
          <w:tcPr>
            <w:tcW w:w="1276" w:type="dxa"/>
            <w:vMerge/>
            <w:tcBorders>
              <w:top w:val="nil"/>
              <w:left w:val="nil"/>
              <w:bottom w:val="nil"/>
              <w:right w:val="nil"/>
            </w:tcBorders>
            <w:vAlign w:val="center"/>
            <w:hideMark/>
          </w:tcPr>
          <w:p w14:paraId="204DD71E" w14:textId="77777777" w:rsidR="009203C3" w:rsidRPr="001F1F3C" w:rsidRDefault="009203C3" w:rsidP="00FB0286">
            <w:pPr>
              <w:spacing w:after="0" w:line="360" w:lineRule="auto"/>
              <w:ind w:left="0"/>
              <w:jc w:val="left"/>
              <w:rPr>
                <w:rFonts w:eastAsia="Times New Roman" w:cs="Arial"/>
                <w:sz w:val="18"/>
                <w:szCs w:val="18"/>
                <w:lang w:eastAsia="en-AU"/>
              </w:rPr>
            </w:pPr>
          </w:p>
        </w:tc>
        <w:tc>
          <w:tcPr>
            <w:tcW w:w="1134" w:type="dxa"/>
            <w:tcBorders>
              <w:top w:val="nil"/>
              <w:left w:val="nil"/>
              <w:bottom w:val="nil"/>
              <w:right w:val="nil"/>
            </w:tcBorders>
            <w:shd w:val="clear" w:color="000000" w:fill="CAE7F3"/>
            <w:noWrap/>
            <w:vAlign w:val="center"/>
            <w:hideMark/>
          </w:tcPr>
          <w:p w14:paraId="654261AE" w14:textId="77777777" w:rsidR="009203C3" w:rsidRPr="001F1F3C" w:rsidRDefault="009203C3" w:rsidP="00FB0286">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c>
          <w:tcPr>
            <w:tcW w:w="696" w:type="dxa"/>
            <w:vMerge/>
            <w:tcBorders>
              <w:top w:val="nil"/>
              <w:left w:val="nil"/>
              <w:bottom w:val="nil"/>
              <w:right w:val="nil"/>
            </w:tcBorders>
            <w:vAlign w:val="center"/>
            <w:hideMark/>
          </w:tcPr>
          <w:p w14:paraId="3EAA2A80" w14:textId="77777777" w:rsidR="009203C3" w:rsidRPr="001F1F3C" w:rsidRDefault="009203C3" w:rsidP="00FB0286">
            <w:pPr>
              <w:spacing w:after="0" w:line="360" w:lineRule="auto"/>
              <w:ind w:left="0"/>
              <w:jc w:val="left"/>
              <w:rPr>
                <w:rFonts w:eastAsia="Times New Roman" w:cs="Arial"/>
                <w:color w:val="000000"/>
                <w:sz w:val="22"/>
                <w:lang w:eastAsia="en-AU"/>
              </w:rPr>
            </w:pPr>
          </w:p>
        </w:tc>
        <w:tc>
          <w:tcPr>
            <w:tcW w:w="1147" w:type="dxa"/>
            <w:tcBorders>
              <w:top w:val="nil"/>
              <w:left w:val="nil"/>
              <w:bottom w:val="nil"/>
              <w:right w:val="nil"/>
            </w:tcBorders>
            <w:shd w:val="clear" w:color="000000" w:fill="CAE7F3"/>
            <w:noWrap/>
            <w:vAlign w:val="center"/>
            <w:hideMark/>
          </w:tcPr>
          <w:p w14:paraId="212D459F" w14:textId="77777777" w:rsidR="009203C3" w:rsidRPr="001F1F3C" w:rsidRDefault="009203C3" w:rsidP="00FB0286">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c>
          <w:tcPr>
            <w:tcW w:w="1365" w:type="dxa"/>
            <w:tcBorders>
              <w:top w:val="nil"/>
              <w:left w:val="nil"/>
              <w:bottom w:val="nil"/>
              <w:right w:val="nil"/>
            </w:tcBorders>
            <w:shd w:val="clear" w:color="000000" w:fill="CAE7F3"/>
            <w:noWrap/>
            <w:vAlign w:val="center"/>
            <w:hideMark/>
          </w:tcPr>
          <w:p w14:paraId="60D4A56C" w14:textId="77777777" w:rsidR="009203C3" w:rsidRPr="001F1F3C" w:rsidRDefault="009203C3" w:rsidP="00FB0286">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r>
      <w:tr w:rsidR="009203C3" w:rsidRPr="001F1F3C" w14:paraId="47914768" w14:textId="77777777" w:rsidTr="00DE6AFF">
        <w:trPr>
          <w:trHeight w:val="300"/>
        </w:trPr>
        <w:tc>
          <w:tcPr>
            <w:tcW w:w="1276" w:type="dxa"/>
            <w:tcBorders>
              <w:top w:val="nil"/>
              <w:left w:val="nil"/>
              <w:bottom w:val="nil"/>
              <w:right w:val="nil"/>
            </w:tcBorders>
            <w:shd w:val="clear" w:color="000000" w:fill="CAE7F3"/>
            <w:noWrap/>
            <w:hideMark/>
          </w:tcPr>
          <w:p w14:paraId="6810EA86" w14:textId="77777777" w:rsidR="009203C3" w:rsidRPr="00060581" w:rsidRDefault="009203C3" w:rsidP="00FB0286">
            <w:pPr>
              <w:spacing w:after="0" w:line="360" w:lineRule="auto"/>
              <w:ind w:left="0"/>
              <w:jc w:val="left"/>
              <w:rPr>
                <w:rFonts w:eastAsia="Times New Roman" w:cs="Arial"/>
                <w:sz w:val="18"/>
                <w:szCs w:val="18"/>
                <w:lang w:eastAsia="en-AU"/>
              </w:rPr>
            </w:pPr>
            <w:r w:rsidRPr="00CB4EBE">
              <w:rPr>
                <w:sz w:val="18"/>
                <w:szCs w:val="18"/>
              </w:rPr>
              <w:t>Road</w:t>
            </w:r>
          </w:p>
        </w:tc>
        <w:tc>
          <w:tcPr>
            <w:tcW w:w="1276" w:type="dxa"/>
            <w:tcBorders>
              <w:top w:val="nil"/>
              <w:left w:val="nil"/>
              <w:bottom w:val="nil"/>
              <w:right w:val="nil"/>
            </w:tcBorders>
            <w:shd w:val="clear" w:color="000000" w:fill="CAE7F3"/>
            <w:noWrap/>
            <w:hideMark/>
          </w:tcPr>
          <w:p w14:paraId="6C02007A"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 xml:space="preserve"> 1,218.2 </w:t>
            </w:r>
          </w:p>
        </w:tc>
        <w:tc>
          <w:tcPr>
            <w:tcW w:w="1134" w:type="dxa"/>
            <w:tcBorders>
              <w:top w:val="nil"/>
              <w:left w:val="nil"/>
              <w:bottom w:val="nil"/>
              <w:right w:val="nil"/>
            </w:tcBorders>
            <w:shd w:val="clear" w:color="000000" w:fill="CAE7F3"/>
            <w:noWrap/>
            <w:hideMark/>
          </w:tcPr>
          <w:p w14:paraId="23D93472"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72.0</w:t>
            </w:r>
          </w:p>
        </w:tc>
        <w:tc>
          <w:tcPr>
            <w:tcW w:w="696" w:type="dxa"/>
            <w:tcBorders>
              <w:top w:val="nil"/>
              <w:left w:val="nil"/>
              <w:bottom w:val="nil"/>
              <w:right w:val="nil"/>
            </w:tcBorders>
            <w:shd w:val="clear" w:color="000000" w:fill="CAE7F3"/>
            <w:noWrap/>
            <w:hideMark/>
          </w:tcPr>
          <w:p w14:paraId="5EBDB116" w14:textId="77777777" w:rsidR="009203C3" w:rsidRPr="00060581" w:rsidRDefault="009203C3" w:rsidP="00FB0286">
            <w:pPr>
              <w:spacing w:after="0" w:line="360" w:lineRule="auto"/>
              <w:ind w:left="0"/>
              <w:jc w:val="right"/>
              <w:rPr>
                <w:rFonts w:eastAsia="Times New Roman" w:cs="Arial"/>
                <w:sz w:val="18"/>
                <w:szCs w:val="18"/>
                <w:lang w:eastAsia="en-AU"/>
              </w:rPr>
            </w:pPr>
          </w:p>
        </w:tc>
        <w:tc>
          <w:tcPr>
            <w:tcW w:w="1147" w:type="dxa"/>
            <w:tcBorders>
              <w:top w:val="nil"/>
              <w:left w:val="nil"/>
              <w:bottom w:val="nil"/>
              <w:right w:val="nil"/>
            </w:tcBorders>
            <w:shd w:val="clear" w:color="000000" w:fill="CAE7F3"/>
            <w:noWrap/>
            <w:hideMark/>
          </w:tcPr>
          <w:p w14:paraId="2E3F7142"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2.4</w:t>
            </w:r>
          </w:p>
        </w:tc>
        <w:tc>
          <w:tcPr>
            <w:tcW w:w="1365" w:type="dxa"/>
            <w:tcBorders>
              <w:top w:val="nil"/>
              <w:left w:val="nil"/>
              <w:bottom w:val="nil"/>
              <w:right w:val="nil"/>
            </w:tcBorders>
            <w:shd w:val="clear" w:color="000000" w:fill="CAE7F3"/>
            <w:noWrap/>
            <w:hideMark/>
          </w:tcPr>
          <w:p w14:paraId="52E8C9C4"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1.4</w:t>
            </w:r>
          </w:p>
        </w:tc>
      </w:tr>
      <w:tr w:rsidR="009203C3" w:rsidRPr="001F1F3C" w14:paraId="7A2718B1" w14:textId="77777777" w:rsidTr="00DE6AFF">
        <w:trPr>
          <w:trHeight w:val="300"/>
        </w:trPr>
        <w:tc>
          <w:tcPr>
            <w:tcW w:w="1276" w:type="dxa"/>
            <w:tcBorders>
              <w:top w:val="nil"/>
              <w:left w:val="nil"/>
              <w:bottom w:val="nil"/>
              <w:right w:val="nil"/>
            </w:tcBorders>
            <w:shd w:val="clear" w:color="000000" w:fill="CAE7F3"/>
            <w:noWrap/>
            <w:hideMark/>
          </w:tcPr>
          <w:p w14:paraId="2B6D4D81" w14:textId="77777777" w:rsidR="009203C3" w:rsidRPr="00060581" w:rsidRDefault="009203C3" w:rsidP="00FB0286">
            <w:pPr>
              <w:spacing w:after="0" w:line="360" w:lineRule="auto"/>
              <w:ind w:left="0"/>
              <w:jc w:val="left"/>
              <w:rPr>
                <w:rFonts w:eastAsia="Times New Roman" w:cs="Arial"/>
                <w:sz w:val="18"/>
                <w:szCs w:val="18"/>
                <w:lang w:eastAsia="en-AU"/>
              </w:rPr>
            </w:pPr>
            <w:r w:rsidRPr="00CB4EBE">
              <w:rPr>
                <w:sz w:val="18"/>
                <w:szCs w:val="18"/>
              </w:rPr>
              <w:t>Air</w:t>
            </w:r>
          </w:p>
        </w:tc>
        <w:tc>
          <w:tcPr>
            <w:tcW w:w="1276" w:type="dxa"/>
            <w:tcBorders>
              <w:top w:val="nil"/>
              <w:left w:val="nil"/>
              <w:bottom w:val="nil"/>
              <w:right w:val="nil"/>
            </w:tcBorders>
            <w:shd w:val="clear" w:color="000000" w:fill="CAE7F3"/>
            <w:noWrap/>
            <w:hideMark/>
          </w:tcPr>
          <w:p w14:paraId="1B4316D9"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 xml:space="preserve"> 330.7 </w:t>
            </w:r>
          </w:p>
        </w:tc>
        <w:tc>
          <w:tcPr>
            <w:tcW w:w="1134" w:type="dxa"/>
            <w:tcBorders>
              <w:top w:val="nil"/>
              <w:left w:val="nil"/>
              <w:bottom w:val="nil"/>
              <w:right w:val="nil"/>
            </w:tcBorders>
            <w:shd w:val="clear" w:color="000000" w:fill="CAE7F3"/>
            <w:noWrap/>
            <w:hideMark/>
          </w:tcPr>
          <w:p w14:paraId="77D03328"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19.6</w:t>
            </w:r>
          </w:p>
        </w:tc>
        <w:tc>
          <w:tcPr>
            <w:tcW w:w="696" w:type="dxa"/>
            <w:tcBorders>
              <w:top w:val="nil"/>
              <w:left w:val="nil"/>
              <w:bottom w:val="nil"/>
              <w:right w:val="nil"/>
            </w:tcBorders>
            <w:shd w:val="clear" w:color="000000" w:fill="CAE7F3"/>
            <w:noWrap/>
            <w:hideMark/>
          </w:tcPr>
          <w:p w14:paraId="09478BCE" w14:textId="77777777" w:rsidR="009203C3" w:rsidRPr="00060581" w:rsidRDefault="009203C3" w:rsidP="00FB0286">
            <w:pPr>
              <w:spacing w:after="0" w:line="360" w:lineRule="auto"/>
              <w:ind w:left="0"/>
              <w:jc w:val="right"/>
              <w:rPr>
                <w:rFonts w:eastAsia="Times New Roman" w:cs="Arial"/>
                <w:sz w:val="18"/>
                <w:szCs w:val="18"/>
                <w:lang w:eastAsia="en-AU"/>
              </w:rPr>
            </w:pPr>
          </w:p>
        </w:tc>
        <w:tc>
          <w:tcPr>
            <w:tcW w:w="1147" w:type="dxa"/>
            <w:tcBorders>
              <w:top w:val="nil"/>
              <w:left w:val="nil"/>
              <w:bottom w:val="nil"/>
              <w:right w:val="nil"/>
            </w:tcBorders>
            <w:shd w:val="clear" w:color="000000" w:fill="CAE7F3"/>
            <w:noWrap/>
            <w:hideMark/>
          </w:tcPr>
          <w:p w14:paraId="18CB247F"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4.8</w:t>
            </w:r>
          </w:p>
        </w:tc>
        <w:tc>
          <w:tcPr>
            <w:tcW w:w="1365" w:type="dxa"/>
            <w:tcBorders>
              <w:top w:val="nil"/>
              <w:left w:val="nil"/>
              <w:bottom w:val="nil"/>
              <w:right w:val="nil"/>
            </w:tcBorders>
            <w:shd w:val="clear" w:color="000000" w:fill="CAE7F3"/>
            <w:noWrap/>
            <w:hideMark/>
          </w:tcPr>
          <w:p w14:paraId="4443DAA1"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3.8</w:t>
            </w:r>
          </w:p>
        </w:tc>
      </w:tr>
      <w:tr w:rsidR="009203C3" w:rsidRPr="001F1F3C" w14:paraId="30102C56" w14:textId="77777777" w:rsidTr="00DE6AFF">
        <w:trPr>
          <w:trHeight w:val="300"/>
        </w:trPr>
        <w:tc>
          <w:tcPr>
            <w:tcW w:w="1276" w:type="dxa"/>
            <w:tcBorders>
              <w:top w:val="nil"/>
              <w:left w:val="nil"/>
              <w:bottom w:val="nil"/>
              <w:right w:val="nil"/>
            </w:tcBorders>
            <w:shd w:val="clear" w:color="000000" w:fill="CAE7F3"/>
            <w:noWrap/>
            <w:hideMark/>
          </w:tcPr>
          <w:p w14:paraId="48EB4612" w14:textId="77777777" w:rsidR="009203C3" w:rsidRPr="00060581" w:rsidRDefault="009203C3" w:rsidP="00FB0286">
            <w:pPr>
              <w:spacing w:after="0" w:line="360" w:lineRule="auto"/>
              <w:ind w:left="0"/>
              <w:jc w:val="left"/>
              <w:rPr>
                <w:rFonts w:eastAsia="Times New Roman" w:cs="Arial"/>
                <w:sz w:val="18"/>
                <w:szCs w:val="18"/>
                <w:lang w:eastAsia="en-AU"/>
              </w:rPr>
            </w:pPr>
            <w:r w:rsidRPr="00CB4EBE">
              <w:rPr>
                <w:sz w:val="18"/>
                <w:szCs w:val="18"/>
              </w:rPr>
              <w:t>Rail</w:t>
            </w:r>
          </w:p>
        </w:tc>
        <w:tc>
          <w:tcPr>
            <w:tcW w:w="1276" w:type="dxa"/>
            <w:tcBorders>
              <w:top w:val="nil"/>
              <w:left w:val="nil"/>
              <w:bottom w:val="nil"/>
              <w:right w:val="nil"/>
            </w:tcBorders>
            <w:shd w:val="clear" w:color="000000" w:fill="CAE7F3"/>
            <w:noWrap/>
            <w:hideMark/>
          </w:tcPr>
          <w:p w14:paraId="04EBFF7A"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 xml:space="preserve"> 61.7 </w:t>
            </w:r>
          </w:p>
        </w:tc>
        <w:tc>
          <w:tcPr>
            <w:tcW w:w="1134" w:type="dxa"/>
            <w:tcBorders>
              <w:top w:val="nil"/>
              <w:left w:val="nil"/>
              <w:bottom w:val="nil"/>
              <w:right w:val="nil"/>
            </w:tcBorders>
            <w:shd w:val="clear" w:color="000000" w:fill="CAE7F3"/>
            <w:noWrap/>
            <w:hideMark/>
          </w:tcPr>
          <w:p w14:paraId="6CB4A41D"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3.6</w:t>
            </w:r>
          </w:p>
        </w:tc>
        <w:tc>
          <w:tcPr>
            <w:tcW w:w="696" w:type="dxa"/>
            <w:tcBorders>
              <w:top w:val="nil"/>
              <w:left w:val="nil"/>
              <w:bottom w:val="nil"/>
              <w:right w:val="nil"/>
            </w:tcBorders>
            <w:shd w:val="clear" w:color="000000" w:fill="CAE7F3"/>
            <w:noWrap/>
            <w:hideMark/>
          </w:tcPr>
          <w:p w14:paraId="6908E099" w14:textId="77777777" w:rsidR="009203C3" w:rsidRPr="00060581" w:rsidRDefault="009203C3" w:rsidP="00FB0286">
            <w:pPr>
              <w:spacing w:after="0" w:line="360" w:lineRule="auto"/>
              <w:ind w:left="0"/>
              <w:jc w:val="right"/>
              <w:rPr>
                <w:rFonts w:eastAsia="Times New Roman" w:cs="Arial"/>
                <w:sz w:val="18"/>
                <w:szCs w:val="18"/>
                <w:lang w:eastAsia="en-AU"/>
              </w:rPr>
            </w:pPr>
          </w:p>
        </w:tc>
        <w:tc>
          <w:tcPr>
            <w:tcW w:w="1147" w:type="dxa"/>
            <w:tcBorders>
              <w:top w:val="nil"/>
              <w:left w:val="nil"/>
              <w:bottom w:val="nil"/>
              <w:right w:val="nil"/>
            </w:tcBorders>
            <w:shd w:val="clear" w:color="000000" w:fill="CAE7F3"/>
            <w:noWrap/>
            <w:hideMark/>
          </w:tcPr>
          <w:p w14:paraId="149D355C"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2.4</w:t>
            </w:r>
          </w:p>
        </w:tc>
        <w:tc>
          <w:tcPr>
            <w:tcW w:w="1365" w:type="dxa"/>
            <w:tcBorders>
              <w:top w:val="nil"/>
              <w:left w:val="nil"/>
              <w:bottom w:val="nil"/>
              <w:right w:val="nil"/>
            </w:tcBorders>
            <w:shd w:val="clear" w:color="000000" w:fill="CAE7F3"/>
            <w:noWrap/>
            <w:hideMark/>
          </w:tcPr>
          <w:p w14:paraId="6E14D3D9"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4.3</w:t>
            </w:r>
          </w:p>
        </w:tc>
      </w:tr>
      <w:tr w:rsidR="009203C3" w:rsidRPr="001F1F3C" w14:paraId="72EFB3BA" w14:textId="77777777" w:rsidTr="00DE6AFF">
        <w:trPr>
          <w:trHeight w:val="300"/>
        </w:trPr>
        <w:tc>
          <w:tcPr>
            <w:tcW w:w="1276" w:type="dxa"/>
            <w:tcBorders>
              <w:top w:val="nil"/>
              <w:left w:val="nil"/>
              <w:bottom w:val="nil"/>
              <w:right w:val="nil"/>
            </w:tcBorders>
            <w:shd w:val="clear" w:color="000000" w:fill="CAE7F3"/>
            <w:noWrap/>
            <w:hideMark/>
          </w:tcPr>
          <w:p w14:paraId="7781A67F" w14:textId="77777777" w:rsidR="009203C3" w:rsidRPr="00060581" w:rsidRDefault="009203C3" w:rsidP="00FB0286">
            <w:pPr>
              <w:spacing w:after="0" w:line="360" w:lineRule="auto"/>
              <w:ind w:left="0"/>
              <w:jc w:val="left"/>
              <w:rPr>
                <w:rFonts w:eastAsia="Times New Roman" w:cs="Arial"/>
                <w:sz w:val="18"/>
                <w:szCs w:val="18"/>
                <w:lang w:eastAsia="en-AU"/>
              </w:rPr>
            </w:pPr>
            <w:r w:rsidRPr="00CB4EBE">
              <w:rPr>
                <w:sz w:val="18"/>
                <w:szCs w:val="18"/>
              </w:rPr>
              <w:t>Water</w:t>
            </w:r>
          </w:p>
        </w:tc>
        <w:tc>
          <w:tcPr>
            <w:tcW w:w="1276" w:type="dxa"/>
            <w:tcBorders>
              <w:top w:val="nil"/>
              <w:left w:val="nil"/>
              <w:bottom w:val="nil"/>
              <w:right w:val="nil"/>
            </w:tcBorders>
            <w:shd w:val="clear" w:color="000000" w:fill="CAE7F3"/>
            <w:noWrap/>
            <w:hideMark/>
          </w:tcPr>
          <w:p w14:paraId="43DD4C60"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 xml:space="preserve"> 49.3 </w:t>
            </w:r>
          </w:p>
        </w:tc>
        <w:tc>
          <w:tcPr>
            <w:tcW w:w="1134" w:type="dxa"/>
            <w:tcBorders>
              <w:top w:val="nil"/>
              <w:left w:val="nil"/>
              <w:bottom w:val="nil"/>
              <w:right w:val="nil"/>
            </w:tcBorders>
            <w:shd w:val="clear" w:color="000000" w:fill="CAE7F3"/>
            <w:noWrap/>
            <w:hideMark/>
          </w:tcPr>
          <w:p w14:paraId="1BC7CAA1"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2.9</w:t>
            </w:r>
          </w:p>
        </w:tc>
        <w:tc>
          <w:tcPr>
            <w:tcW w:w="696" w:type="dxa"/>
            <w:tcBorders>
              <w:top w:val="nil"/>
              <w:left w:val="nil"/>
              <w:bottom w:val="nil"/>
              <w:right w:val="nil"/>
            </w:tcBorders>
            <w:shd w:val="clear" w:color="000000" w:fill="CAE7F3"/>
            <w:noWrap/>
            <w:hideMark/>
          </w:tcPr>
          <w:p w14:paraId="5AB54E77" w14:textId="77777777" w:rsidR="009203C3" w:rsidRPr="00060581" w:rsidRDefault="009203C3" w:rsidP="00FB0286">
            <w:pPr>
              <w:spacing w:after="0" w:line="360" w:lineRule="auto"/>
              <w:ind w:left="0"/>
              <w:jc w:val="right"/>
              <w:rPr>
                <w:rFonts w:eastAsia="Times New Roman" w:cs="Arial"/>
                <w:sz w:val="18"/>
                <w:szCs w:val="18"/>
                <w:lang w:eastAsia="en-AU"/>
              </w:rPr>
            </w:pPr>
          </w:p>
        </w:tc>
        <w:tc>
          <w:tcPr>
            <w:tcW w:w="1147" w:type="dxa"/>
            <w:tcBorders>
              <w:top w:val="nil"/>
              <w:left w:val="nil"/>
              <w:bottom w:val="nil"/>
              <w:right w:val="nil"/>
            </w:tcBorders>
            <w:shd w:val="clear" w:color="000000" w:fill="CAE7F3"/>
            <w:noWrap/>
            <w:hideMark/>
          </w:tcPr>
          <w:p w14:paraId="78900C1C"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1.6</w:t>
            </w:r>
          </w:p>
        </w:tc>
        <w:tc>
          <w:tcPr>
            <w:tcW w:w="1365" w:type="dxa"/>
            <w:tcBorders>
              <w:top w:val="nil"/>
              <w:left w:val="nil"/>
              <w:bottom w:val="nil"/>
              <w:right w:val="nil"/>
            </w:tcBorders>
            <w:shd w:val="clear" w:color="000000" w:fill="CAE7F3"/>
            <w:noWrap/>
            <w:hideMark/>
          </w:tcPr>
          <w:p w14:paraId="492D890E" w14:textId="77777777" w:rsidR="009203C3" w:rsidRPr="00060581" w:rsidRDefault="009203C3" w:rsidP="00FB0286">
            <w:pPr>
              <w:spacing w:after="0" w:line="360" w:lineRule="auto"/>
              <w:ind w:left="0"/>
              <w:jc w:val="right"/>
              <w:rPr>
                <w:rFonts w:eastAsia="Times New Roman" w:cs="Arial"/>
                <w:sz w:val="18"/>
                <w:szCs w:val="18"/>
                <w:lang w:eastAsia="en-AU"/>
              </w:rPr>
            </w:pPr>
            <w:r w:rsidRPr="00CB4EBE">
              <w:rPr>
                <w:sz w:val="18"/>
                <w:szCs w:val="18"/>
              </w:rPr>
              <w:t>-4.3</w:t>
            </w:r>
          </w:p>
        </w:tc>
      </w:tr>
      <w:tr w:rsidR="009203C3" w:rsidRPr="001F1F3C" w14:paraId="58DED034" w14:textId="77777777" w:rsidTr="00DE6AFF">
        <w:trPr>
          <w:trHeight w:val="300"/>
        </w:trPr>
        <w:tc>
          <w:tcPr>
            <w:tcW w:w="1276" w:type="dxa"/>
            <w:tcBorders>
              <w:top w:val="nil"/>
              <w:left w:val="nil"/>
              <w:bottom w:val="nil"/>
              <w:right w:val="nil"/>
            </w:tcBorders>
            <w:shd w:val="clear" w:color="000000" w:fill="CAE7F3"/>
            <w:noWrap/>
            <w:hideMark/>
          </w:tcPr>
          <w:p w14:paraId="70CED802" w14:textId="77777777" w:rsidR="009203C3" w:rsidRPr="00060581" w:rsidRDefault="009203C3" w:rsidP="00FB0286">
            <w:pPr>
              <w:spacing w:after="0" w:line="480" w:lineRule="auto"/>
              <w:ind w:left="0"/>
              <w:jc w:val="left"/>
              <w:rPr>
                <w:rFonts w:eastAsia="Times New Roman" w:cs="Arial"/>
                <w:sz w:val="18"/>
                <w:szCs w:val="18"/>
                <w:lang w:eastAsia="en-AU"/>
              </w:rPr>
            </w:pPr>
            <w:r w:rsidRPr="00CB4EBE">
              <w:rPr>
                <w:sz w:val="18"/>
                <w:szCs w:val="18"/>
              </w:rPr>
              <w:t>Other</w:t>
            </w:r>
          </w:p>
        </w:tc>
        <w:tc>
          <w:tcPr>
            <w:tcW w:w="1276" w:type="dxa"/>
            <w:tcBorders>
              <w:top w:val="nil"/>
              <w:left w:val="nil"/>
              <w:bottom w:val="nil"/>
              <w:right w:val="nil"/>
            </w:tcBorders>
            <w:shd w:val="clear" w:color="000000" w:fill="CAE7F3"/>
            <w:noWrap/>
            <w:hideMark/>
          </w:tcPr>
          <w:p w14:paraId="4A41C53A" w14:textId="77777777" w:rsidR="009203C3" w:rsidRPr="00060581" w:rsidRDefault="009203C3" w:rsidP="00FB0286">
            <w:pPr>
              <w:spacing w:after="0" w:line="480" w:lineRule="auto"/>
              <w:ind w:left="0"/>
              <w:jc w:val="right"/>
              <w:rPr>
                <w:rFonts w:eastAsia="Times New Roman" w:cs="Arial"/>
                <w:sz w:val="18"/>
                <w:szCs w:val="18"/>
                <w:lang w:eastAsia="en-AU"/>
              </w:rPr>
            </w:pPr>
            <w:r w:rsidRPr="00CB4EBE">
              <w:rPr>
                <w:sz w:val="18"/>
                <w:szCs w:val="18"/>
              </w:rPr>
              <w:t xml:space="preserve"> 31.5 </w:t>
            </w:r>
          </w:p>
        </w:tc>
        <w:tc>
          <w:tcPr>
            <w:tcW w:w="1134" w:type="dxa"/>
            <w:tcBorders>
              <w:top w:val="nil"/>
              <w:left w:val="nil"/>
              <w:bottom w:val="nil"/>
              <w:right w:val="nil"/>
            </w:tcBorders>
            <w:shd w:val="clear" w:color="000000" w:fill="CAE7F3"/>
            <w:noWrap/>
            <w:hideMark/>
          </w:tcPr>
          <w:p w14:paraId="58382FB0" w14:textId="77777777" w:rsidR="009203C3" w:rsidRPr="00060581" w:rsidRDefault="009203C3" w:rsidP="00FB0286">
            <w:pPr>
              <w:spacing w:after="0" w:line="480" w:lineRule="auto"/>
              <w:ind w:left="0"/>
              <w:jc w:val="right"/>
              <w:rPr>
                <w:rFonts w:eastAsia="Times New Roman" w:cs="Arial"/>
                <w:sz w:val="18"/>
                <w:szCs w:val="18"/>
                <w:lang w:eastAsia="en-AU"/>
              </w:rPr>
            </w:pPr>
            <w:r w:rsidRPr="00CB4EBE">
              <w:rPr>
                <w:sz w:val="18"/>
                <w:szCs w:val="18"/>
              </w:rPr>
              <w:t>1.9</w:t>
            </w:r>
          </w:p>
        </w:tc>
        <w:tc>
          <w:tcPr>
            <w:tcW w:w="696" w:type="dxa"/>
            <w:tcBorders>
              <w:top w:val="nil"/>
              <w:left w:val="nil"/>
              <w:bottom w:val="nil"/>
              <w:right w:val="nil"/>
            </w:tcBorders>
            <w:shd w:val="clear" w:color="000000" w:fill="CAE7F3"/>
            <w:noWrap/>
            <w:hideMark/>
          </w:tcPr>
          <w:p w14:paraId="7E8A692C" w14:textId="77777777" w:rsidR="009203C3" w:rsidRPr="00060581" w:rsidRDefault="009203C3" w:rsidP="00FB0286">
            <w:pPr>
              <w:spacing w:after="0" w:line="480" w:lineRule="auto"/>
              <w:ind w:left="0"/>
              <w:jc w:val="right"/>
              <w:rPr>
                <w:rFonts w:eastAsia="Times New Roman" w:cs="Arial"/>
                <w:sz w:val="18"/>
                <w:szCs w:val="18"/>
                <w:lang w:eastAsia="en-AU"/>
              </w:rPr>
            </w:pPr>
          </w:p>
        </w:tc>
        <w:tc>
          <w:tcPr>
            <w:tcW w:w="1147" w:type="dxa"/>
            <w:tcBorders>
              <w:top w:val="nil"/>
              <w:left w:val="nil"/>
              <w:bottom w:val="nil"/>
              <w:right w:val="nil"/>
            </w:tcBorders>
            <w:shd w:val="clear" w:color="000000" w:fill="CAE7F3"/>
            <w:noWrap/>
            <w:hideMark/>
          </w:tcPr>
          <w:p w14:paraId="1EF1AEF4" w14:textId="77777777" w:rsidR="009203C3" w:rsidRPr="00060581" w:rsidRDefault="009203C3" w:rsidP="00FB0286">
            <w:pPr>
              <w:spacing w:after="0" w:line="480" w:lineRule="auto"/>
              <w:ind w:left="0"/>
              <w:jc w:val="right"/>
              <w:rPr>
                <w:rFonts w:eastAsia="Times New Roman" w:cs="Arial"/>
                <w:sz w:val="18"/>
                <w:szCs w:val="18"/>
                <w:lang w:eastAsia="en-AU"/>
              </w:rPr>
            </w:pPr>
            <w:r w:rsidRPr="00CB4EBE">
              <w:rPr>
                <w:sz w:val="18"/>
                <w:szCs w:val="18"/>
              </w:rPr>
              <w:t>2.7</w:t>
            </w:r>
          </w:p>
        </w:tc>
        <w:tc>
          <w:tcPr>
            <w:tcW w:w="1365" w:type="dxa"/>
            <w:tcBorders>
              <w:top w:val="nil"/>
              <w:left w:val="nil"/>
              <w:bottom w:val="nil"/>
              <w:right w:val="nil"/>
            </w:tcBorders>
            <w:shd w:val="clear" w:color="000000" w:fill="CAE7F3"/>
            <w:noWrap/>
            <w:hideMark/>
          </w:tcPr>
          <w:p w14:paraId="38D184C2" w14:textId="77777777" w:rsidR="009203C3" w:rsidRPr="00060581" w:rsidRDefault="009203C3" w:rsidP="00FB0286">
            <w:pPr>
              <w:spacing w:after="0" w:line="480" w:lineRule="auto"/>
              <w:ind w:left="0"/>
              <w:jc w:val="right"/>
              <w:rPr>
                <w:rFonts w:eastAsia="Times New Roman" w:cs="Arial"/>
                <w:sz w:val="18"/>
                <w:szCs w:val="18"/>
                <w:lang w:eastAsia="en-AU"/>
              </w:rPr>
            </w:pPr>
            <w:r w:rsidRPr="00CB4EBE">
              <w:rPr>
                <w:sz w:val="18"/>
                <w:szCs w:val="18"/>
              </w:rPr>
              <w:t>0.6</w:t>
            </w:r>
          </w:p>
        </w:tc>
      </w:tr>
      <w:tr w:rsidR="009203C3" w:rsidRPr="001F1F3C" w14:paraId="13555787" w14:textId="77777777" w:rsidTr="00DE6AFF">
        <w:trPr>
          <w:trHeight w:val="300"/>
        </w:trPr>
        <w:tc>
          <w:tcPr>
            <w:tcW w:w="1276" w:type="dxa"/>
            <w:tcBorders>
              <w:top w:val="nil"/>
              <w:left w:val="nil"/>
              <w:bottom w:val="nil"/>
              <w:right w:val="nil"/>
            </w:tcBorders>
            <w:shd w:val="clear" w:color="000000" w:fill="CAE7F3"/>
            <w:noWrap/>
            <w:hideMark/>
          </w:tcPr>
          <w:p w14:paraId="76E650E6" w14:textId="77777777" w:rsidR="009203C3" w:rsidRPr="00060581" w:rsidRDefault="009203C3" w:rsidP="00FB0286">
            <w:pPr>
              <w:spacing w:after="0" w:line="360" w:lineRule="auto"/>
              <w:ind w:left="0"/>
              <w:jc w:val="left"/>
              <w:rPr>
                <w:rFonts w:eastAsia="Times New Roman" w:cs="Arial"/>
                <w:b/>
                <w:bCs/>
                <w:sz w:val="18"/>
                <w:szCs w:val="18"/>
                <w:lang w:eastAsia="en-AU"/>
              </w:rPr>
            </w:pPr>
            <w:r w:rsidRPr="00CB4EBE">
              <w:rPr>
                <w:b/>
                <w:sz w:val="18"/>
                <w:szCs w:val="18"/>
              </w:rPr>
              <w:t>Total</w:t>
            </w:r>
          </w:p>
        </w:tc>
        <w:tc>
          <w:tcPr>
            <w:tcW w:w="1276" w:type="dxa"/>
            <w:tcBorders>
              <w:top w:val="nil"/>
              <w:left w:val="nil"/>
              <w:bottom w:val="nil"/>
              <w:right w:val="nil"/>
            </w:tcBorders>
            <w:shd w:val="clear" w:color="000000" w:fill="CAE7F3"/>
            <w:noWrap/>
            <w:hideMark/>
          </w:tcPr>
          <w:p w14:paraId="7CBA8AFA" w14:textId="77777777" w:rsidR="009203C3" w:rsidRPr="00060581" w:rsidRDefault="009203C3" w:rsidP="00FB0286">
            <w:pPr>
              <w:spacing w:after="0" w:line="360" w:lineRule="auto"/>
              <w:ind w:left="0"/>
              <w:jc w:val="right"/>
              <w:rPr>
                <w:rFonts w:eastAsia="Times New Roman" w:cs="Arial"/>
                <w:b/>
                <w:bCs/>
                <w:sz w:val="18"/>
                <w:szCs w:val="18"/>
                <w:lang w:eastAsia="en-AU"/>
              </w:rPr>
            </w:pPr>
            <w:r w:rsidRPr="00CB4EBE">
              <w:rPr>
                <w:b/>
                <w:sz w:val="18"/>
                <w:szCs w:val="18"/>
              </w:rPr>
              <w:t xml:space="preserve"> 1,691.5 </w:t>
            </w:r>
          </w:p>
        </w:tc>
        <w:tc>
          <w:tcPr>
            <w:tcW w:w="1134" w:type="dxa"/>
            <w:tcBorders>
              <w:top w:val="nil"/>
              <w:left w:val="nil"/>
              <w:bottom w:val="nil"/>
              <w:right w:val="nil"/>
            </w:tcBorders>
            <w:shd w:val="clear" w:color="000000" w:fill="CAE7F3"/>
            <w:noWrap/>
            <w:hideMark/>
          </w:tcPr>
          <w:p w14:paraId="1B7289BD" w14:textId="77777777" w:rsidR="009203C3" w:rsidRPr="00060581" w:rsidRDefault="009203C3" w:rsidP="00FB0286">
            <w:pPr>
              <w:spacing w:after="0" w:line="360" w:lineRule="auto"/>
              <w:ind w:left="0"/>
              <w:jc w:val="right"/>
              <w:rPr>
                <w:rFonts w:eastAsia="Times New Roman" w:cs="Arial"/>
                <w:b/>
                <w:bCs/>
                <w:sz w:val="18"/>
                <w:szCs w:val="18"/>
                <w:lang w:eastAsia="en-AU"/>
              </w:rPr>
            </w:pPr>
            <w:r w:rsidRPr="00CB4EBE">
              <w:rPr>
                <w:b/>
                <w:sz w:val="18"/>
                <w:szCs w:val="18"/>
              </w:rPr>
              <w:t>100.0</w:t>
            </w:r>
          </w:p>
        </w:tc>
        <w:tc>
          <w:tcPr>
            <w:tcW w:w="696" w:type="dxa"/>
            <w:tcBorders>
              <w:top w:val="nil"/>
              <w:left w:val="nil"/>
              <w:bottom w:val="nil"/>
              <w:right w:val="nil"/>
            </w:tcBorders>
            <w:shd w:val="clear" w:color="000000" w:fill="CAE7F3"/>
            <w:noWrap/>
            <w:hideMark/>
          </w:tcPr>
          <w:p w14:paraId="141AE750" w14:textId="77777777" w:rsidR="009203C3" w:rsidRPr="00060581" w:rsidRDefault="009203C3" w:rsidP="00FB0286">
            <w:pPr>
              <w:spacing w:after="0" w:line="360" w:lineRule="auto"/>
              <w:ind w:left="0"/>
              <w:jc w:val="right"/>
              <w:rPr>
                <w:rFonts w:eastAsia="Times New Roman" w:cs="Arial"/>
                <w:b/>
                <w:bCs/>
                <w:sz w:val="18"/>
                <w:szCs w:val="18"/>
                <w:lang w:eastAsia="en-AU"/>
              </w:rPr>
            </w:pPr>
          </w:p>
        </w:tc>
        <w:tc>
          <w:tcPr>
            <w:tcW w:w="1147" w:type="dxa"/>
            <w:tcBorders>
              <w:top w:val="nil"/>
              <w:left w:val="nil"/>
              <w:bottom w:val="nil"/>
              <w:right w:val="nil"/>
            </w:tcBorders>
            <w:shd w:val="clear" w:color="000000" w:fill="CAE7F3"/>
            <w:noWrap/>
            <w:hideMark/>
          </w:tcPr>
          <w:p w14:paraId="67289EC2" w14:textId="77777777" w:rsidR="009203C3" w:rsidRPr="00060581" w:rsidRDefault="009203C3" w:rsidP="00FB0286">
            <w:pPr>
              <w:spacing w:after="0" w:line="360" w:lineRule="auto"/>
              <w:ind w:left="0"/>
              <w:jc w:val="right"/>
              <w:rPr>
                <w:rFonts w:eastAsia="Times New Roman" w:cs="Arial"/>
                <w:b/>
                <w:bCs/>
                <w:sz w:val="18"/>
                <w:szCs w:val="18"/>
                <w:lang w:eastAsia="en-AU"/>
              </w:rPr>
            </w:pPr>
            <w:r w:rsidRPr="00CB4EBE">
              <w:rPr>
                <w:b/>
                <w:sz w:val="18"/>
                <w:szCs w:val="18"/>
              </w:rPr>
              <w:t>2.8</w:t>
            </w:r>
          </w:p>
        </w:tc>
        <w:tc>
          <w:tcPr>
            <w:tcW w:w="1365" w:type="dxa"/>
            <w:tcBorders>
              <w:top w:val="nil"/>
              <w:left w:val="nil"/>
              <w:bottom w:val="nil"/>
              <w:right w:val="nil"/>
            </w:tcBorders>
            <w:shd w:val="clear" w:color="000000" w:fill="CAE7F3"/>
            <w:noWrap/>
            <w:hideMark/>
          </w:tcPr>
          <w:p w14:paraId="1C5F693F" w14:textId="77777777" w:rsidR="009203C3" w:rsidRPr="00060581" w:rsidRDefault="009203C3" w:rsidP="00FB0286">
            <w:pPr>
              <w:spacing w:after="0" w:line="360" w:lineRule="auto"/>
              <w:ind w:left="0"/>
              <w:jc w:val="right"/>
              <w:rPr>
                <w:rFonts w:eastAsia="Times New Roman" w:cs="Arial"/>
                <w:b/>
                <w:bCs/>
                <w:sz w:val="18"/>
                <w:szCs w:val="18"/>
                <w:lang w:eastAsia="en-AU"/>
              </w:rPr>
            </w:pPr>
            <w:r w:rsidRPr="00CB4EBE">
              <w:rPr>
                <w:b/>
                <w:sz w:val="18"/>
                <w:szCs w:val="18"/>
              </w:rPr>
              <w:t>1.7</w:t>
            </w:r>
          </w:p>
        </w:tc>
      </w:tr>
    </w:tbl>
    <w:p w14:paraId="4C0B8E04" w14:textId="77777777" w:rsidR="009203C3" w:rsidRPr="001F1F3C" w:rsidRDefault="009203C3" w:rsidP="009203C3">
      <w:pPr>
        <w:pStyle w:val="Source"/>
        <w:spacing w:after="240"/>
        <w:rPr>
          <w:color w:val="595A5B" w:themeColor="text1"/>
        </w:rPr>
      </w:pPr>
      <w:r w:rsidRPr="001F1F3C">
        <w:rPr>
          <w:color w:val="595A5B" w:themeColor="text1"/>
        </w:rPr>
        <w:t xml:space="preserve">Source: </w:t>
      </w:r>
      <w:r w:rsidRPr="001F1F3C">
        <w:rPr>
          <w:color w:val="595A5B" w:themeColor="text1"/>
          <w:szCs w:val="16"/>
        </w:rPr>
        <w:t xml:space="preserve">Department of the Environment and Energy (2018) </w:t>
      </w:r>
      <w:r w:rsidRPr="001F1F3C">
        <w:rPr>
          <w:i/>
          <w:color w:val="595A5B" w:themeColor="text1"/>
        </w:rPr>
        <w:t>Australian Energy Statistics</w:t>
      </w:r>
      <w:r w:rsidRPr="001F1F3C">
        <w:rPr>
          <w:color w:val="595A5B" w:themeColor="text1"/>
        </w:rPr>
        <w:t xml:space="preserve">, </w:t>
      </w:r>
      <w:r w:rsidRPr="001F1F3C">
        <w:rPr>
          <w:color w:val="595A5B" w:themeColor="text1"/>
        </w:rPr>
        <w:br/>
        <w:t>Table F</w:t>
      </w:r>
    </w:p>
    <w:p w14:paraId="45F5DE4A" w14:textId="4EC3960C" w:rsidR="008D6713" w:rsidRPr="001F1F3C" w:rsidRDefault="008D6713" w:rsidP="008D6713">
      <w:pPr>
        <w:pStyle w:val="Caption"/>
        <w:ind w:left="-1843"/>
      </w:pPr>
      <w:bookmarkStart w:id="78" w:name="_Toc523777420"/>
      <w:bookmarkStart w:id="79" w:name="_Toc427790833"/>
      <w:r>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rsidR="003348D2">
        <w:t>.</w:t>
      </w:r>
      <w:r w:rsidR="00941B67">
        <w:rPr>
          <w:noProof/>
        </w:rPr>
        <w:fldChar w:fldCharType="begin"/>
      </w:r>
      <w:r w:rsidR="00941B67">
        <w:rPr>
          <w:noProof/>
        </w:rPr>
        <w:instrText xml:space="preserve"> SEQ Figure \* ARABIC \s 1 </w:instrText>
      </w:r>
      <w:r w:rsidR="00941B67">
        <w:rPr>
          <w:noProof/>
        </w:rPr>
        <w:fldChar w:fldCharType="separate"/>
      </w:r>
      <w:r w:rsidR="00D72ABB">
        <w:rPr>
          <w:noProof/>
        </w:rPr>
        <w:t>5</w:t>
      </w:r>
      <w:r w:rsidR="00941B67">
        <w:rPr>
          <w:noProof/>
        </w:rPr>
        <w:fldChar w:fldCharType="end"/>
      </w:r>
      <w:r>
        <w:t xml:space="preserve">: </w:t>
      </w:r>
      <w:r w:rsidR="00B64CA5">
        <w:t>Australian transport energy c</w:t>
      </w:r>
      <w:r>
        <w:t>onsumption</w:t>
      </w:r>
      <w:r w:rsidR="00B64CA5">
        <w:t>, by major fuel type</w:t>
      </w:r>
      <w:bookmarkEnd w:id="78"/>
    </w:p>
    <w:tbl>
      <w:tblPr>
        <w:tblStyle w:val="OCETable"/>
        <w:tblW w:w="6408" w:type="pct"/>
        <w:tblInd w:w="-1985" w:type="dxa"/>
        <w:tblLayout w:type="fixed"/>
        <w:tblLook w:val="04A0" w:firstRow="1" w:lastRow="0" w:firstColumn="1" w:lastColumn="0" w:noHBand="0" w:noVBand="1"/>
        <w:tblCaption w:val="Placeholder obejct only"/>
      </w:tblPr>
      <w:tblGrid>
        <w:gridCol w:w="8835"/>
      </w:tblGrid>
      <w:tr w:rsidR="008D6713" w:rsidRPr="001F1F3C" w14:paraId="129A8958" w14:textId="77777777" w:rsidTr="00B64CA5">
        <w:trPr>
          <w:cnfStyle w:val="100000000000" w:firstRow="1" w:lastRow="0" w:firstColumn="0" w:lastColumn="0" w:oddVBand="0" w:evenVBand="0" w:oddHBand="0" w:evenHBand="0" w:firstRowFirstColumn="0" w:firstRowLastColumn="0" w:lastRowFirstColumn="0" w:lastRowLastColumn="0"/>
          <w:trHeight w:val="4992"/>
          <w:tblHeader/>
        </w:trPr>
        <w:tc>
          <w:tcPr>
            <w:tcW w:w="8836" w:type="dxa"/>
            <w:shd w:val="clear" w:color="auto" w:fill="auto"/>
          </w:tcPr>
          <w:p w14:paraId="045D83EB" w14:textId="04DD37FE" w:rsidR="008D6713" w:rsidRPr="001F1F3C" w:rsidRDefault="00642121" w:rsidP="00D6514B">
            <w:pPr>
              <w:pStyle w:val="PlaceholderWide"/>
              <w:tabs>
                <w:tab w:val="left" w:pos="285"/>
                <w:tab w:val="left" w:pos="3750"/>
              </w:tabs>
              <w:jc w:val="both"/>
            </w:pPr>
            <w:r>
              <w:rPr>
                <w:noProof/>
                <w:lang w:eastAsia="en-AU"/>
              </w:rPr>
              <w:drawing>
                <wp:inline distT="0" distB="0" distL="0" distR="0" wp14:anchorId="09C91B16" wp14:editId="0D6B73FB">
                  <wp:extent cx="5407660" cy="3249295"/>
                  <wp:effectExtent l="0" t="0" r="2540" b="8255"/>
                  <wp:docPr id="1567777" name="Picture 1567777" descr="The figure shows Australian transport energy consumption by major fuel type, in petajoules from 2002-03 to 2016-17&#10;" title="Figure 2.5: Australian transport energy consumption, by major fuel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7660" cy="3249295"/>
                          </a:xfrm>
                          <a:prstGeom prst="rect">
                            <a:avLst/>
                          </a:prstGeom>
                          <a:noFill/>
                        </pic:spPr>
                      </pic:pic>
                    </a:graphicData>
                  </a:graphic>
                </wp:inline>
              </w:drawing>
            </w:r>
          </w:p>
        </w:tc>
      </w:tr>
    </w:tbl>
    <w:p w14:paraId="4D93A692" w14:textId="77777777" w:rsidR="008D6713" w:rsidRPr="001F1F3C" w:rsidRDefault="008D6713" w:rsidP="008D6713">
      <w:pPr>
        <w:pStyle w:val="SourceWide"/>
        <w:rPr>
          <w:color w:val="595A5B" w:themeColor="text1"/>
        </w:rPr>
      </w:pPr>
      <w:r w:rsidRPr="001F1F3C">
        <w:rPr>
          <w:color w:val="595A5B" w:themeColor="text1"/>
        </w:rPr>
        <w:t xml:space="preserve">Source: </w:t>
      </w:r>
      <w:r w:rsidRPr="001F1F3C">
        <w:rPr>
          <w:color w:val="595A5B" w:themeColor="text1"/>
          <w:szCs w:val="16"/>
        </w:rPr>
        <w:t>Department of the Environment and Energy (2018</w:t>
      </w:r>
      <w:r w:rsidRPr="001F1F3C">
        <w:rPr>
          <w:color w:val="595A5B" w:themeColor="text1"/>
        </w:rPr>
        <w:t xml:space="preserve">) </w:t>
      </w:r>
      <w:r w:rsidRPr="001F1F3C">
        <w:rPr>
          <w:i/>
          <w:color w:val="595A5B" w:themeColor="text1"/>
        </w:rPr>
        <w:t>Australian Energy Statistics</w:t>
      </w:r>
      <w:r w:rsidRPr="001F1F3C">
        <w:rPr>
          <w:color w:val="595A5B" w:themeColor="text1"/>
        </w:rPr>
        <w:t xml:space="preserve">, Table F </w:t>
      </w:r>
    </w:p>
    <w:p w14:paraId="0E137F1A" w14:textId="57FDC814" w:rsidR="00DC586C" w:rsidRDefault="00DC586C" w:rsidP="00DC586C">
      <w:pPr>
        <w:pStyle w:val="BodyText"/>
      </w:pPr>
      <w:r w:rsidRPr="001F1F3C">
        <w:t>Air transport</w:t>
      </w:r>
      <w:r>
        <w:t xml:space="preserve"> </w:t>
      </w:r>
      <w:r w:rsidRPr="001F1F3C">
        <w:t xml:space="preserve">accounted for a further </w:t>
      </w:r>
      <w:r>
        <w:t>20</w:t>
      </w:r>
      <w:r w:rsidRPr="001F1F3C">
        <w:t xml:space="preserve"> per cent of </w:t>
      </w:r>
      <w:r>
        <w:t>transport energy use in 2016–17. Consumption of aviation fuels increased by 5 per cent in 2016–17, mainly due to international air transport growth.</w:t>
      </w:r>
    </w:p>
    <w:p w14:paraId="43E00942" w14:textId="058F478C" w:rsidR="009203C3" w:rsidRPr="001F1F3C" w:rsidRDefault="001F4600" w:rsidP="008F161D">
      <w:pPr>
        <w:pStyle w:val="BodyText"/>
      </w:pPr>
      <w:r w:rsidRPr="001F1F3C">
        <w:t xml:space="preserve">Energy consumption in the manufacturing sector fell by </w:t>
      </w:r>
      <w:r w:rsidR="00AC1843" w:rsidRPr="001F1F3C">
        <w:t>2</w:t>
      </w:r>
      <w:r w:rsidRPr="001F1F3C">
        <w:t> per cent</w:t>
      </w:r>
      <w:r w:rsidR="00A63A41" w:rsidRPr="00A63A41">
        <w:t xml:space="preserve"> </w:t>
      </w:r>
      <w:r w:rsidR="00A63A41" w:rsidRPr="001F1F3C">
        <w:t>in 2016–17</w:t>
      </w:r>
      <w:r w:rsidR="001D51D7">
        <w:t xml:space="preserve">, </w:t>
      </w:r>
      <w:r w:rsidR="00DC586C">
        <w:t>continuing the declining trend in recent years</w:t>
      </w:r>
      <w:r w:rsidR="00BB3234">
        <w:t xml:space="preserve"> (Table 2.5)</w:t>
      </w:r>
      <w:r w:rsidR="00ED18EF">
        <w:t xml:space="preserve">. </w:t>
      </w:r>
      <w:r w:rsidR="000B1CBB">
        <w:t>Chemicals manufacturing saw the largest absolute decline in energy use</w:t>
      </w:r>
      <w:r w:rsidR="00833337">
        <w:t xml:space="preserve">, </w:t>
      </w:r>
      <w:r w:rsidR="00112742">
        <w:t xml:space="preserve">consistent with reduced </w:t>
      </w:r>
      <w:r w:rsidR="00F80CB3">
        <w:t>activity</w:t>
      </w:r>
      <w:r w:rsidR="00112742">
        <w:t>.</w:t>
      </w:r>
      <w:r w:rsidR="00BB3234">
        <w:t xml:space="preserve"> An increase in energy use in n</w:t>
      </w:r>
      <w:r w:rsidR="00ED18EF">
        <w:t>on-ferrous metals</w:t>
      </w:r>
      <w:r w:rsidR="00B22164">
        <w:t xml:space="preserve"> </w:t>
      </w:r>
      <w:r w:rsidR="000B1CBB">
        <w:t>in Western Australia</w:t>
      </w:r>
      <w:r w:rsidR="00BB3234">
        <w:t xml:space="preserve"> was more than</w:t>
      </w:r>
      <w:r w:rsidR="000B1CBB">
        <w:t xml:space="preserve"> offset by declines in</w:t>
      </w:r>
      <w:r w:rsidR="00A03EBC">
        <w:t xml:space="preserve"> </w:t>
      </w:r>
      <w:r w:rsidR="00A600DD">
        <w:t>energy</w:t>
      </w:r>
      <w:r w:rsidR="00ED18EF">
        <w:t xml:space="preserve"> consumption in Queensla</w:t>
      </w:r>
      <w:r w:rsidR="00BB3234">
        <w:t xml:space="preserve">nd and Victoria attributable </w:t>
      </w:r>
      <w:r w:rsidR="00ED18EF">
        <w:t xml:space="preserve">to the closure of the Queensland Nickel refinery and </w:t>
      </w:r>
      <w:r w:rsidR="00A600DD">
        <w:t xml:space="preserve">to </w:t>
      </w:r>
      <w:r w:rsidR="00ED18EF">
        <w:t xml:space="preserve">output at </w:t>
      </w:r>
      <w:r w:rsidR="00A600DD">
        <w:t xml:space="preserve">the </w:t>
      </w:r>
      <w:r w:rsidR="00ED18EF">
        <w:t xml:space="preserve">Portland </w:t>
      </w:r>
      <w:r w:rsidR="00A600DD">
        <w:t>A</w:t>
      </w:r>
      <w:r w:rsidR="00ED18EF">
        <w:t xml:space="preserve">luminium </w:t>
      </w:r>
      <w:r w:rsidR="00A600DD">
        <w:t>refinery being reduced for an exten</w:t>
      </w:r>
      <w:r w:rsidR="000B1CBB">
        <w:t>de</w:t>
      </w:r>
      <w:r w:rsidR="00A600DD">
        <w:t xml:space="preserve">d period by a power fault. </w:t>
      </w:r>
    </w:p>
    <w:p w14:paraId="4D4A3EFC" w14:textId="6CA922CD" w:rsidR="001F4600" w:rsidRPr="001F1F3C" w:rsidRDefault="000678FE" w:rsidP="00082FE6">
      <w:pPr>
        <w:pStyle w:val="Caption"/>
      </w:pPr>
      <w:bookmarkStart w:id="80" w:name="_Toc461142060"/>
      <w:bookmarkStart w:id="81" w:name="_Toc522199774"/>
      <w:bookmarkStart w:id="82" w:name="_Toc522635717"/>
      <w:r>
        <w:lastRenderedPageBreak/>
        <w:t xml:space="preserve">Table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rsidR="00C1400E">
        <w:t>.</w:t>
      </w:r>
      <w:r w:rsidR="00941B67">
        <w:rPr>
          <w:noProof/>
        </w:rPr>
        <w:fldChar w:fldCharType="begin"/>
      </w:r>
      <w:r w:rsidR="00941B67">
        <w:rPr>
          <w:noProof/>
        </w:rPr>
        <w:instrText xml:space="preserve"> SEQ Table \* ARABIC \s 1 </w:instrText>
      </w:r>
      <w:r w:rsidR="00941B67">
        <w:rPr>
          <w:noProof/>
        </w:rPr>
        <w:fldChar w:fldCharType="separate"/>
      </w:r>
      <w:r w:rsidR="00D72ABB">
        <w:rPr>
          <w:noProof/>
        </w:rPr>
        <w:t>5</w:t>
      </w:r>
      <w:r w:rsidR="00941B67">
        <w:rPr>
          <w:noProof/>
        </w:rPr>
        <w:fldChar w:fldCharType="end"/>
      </w:r>
      <w:r>
        <w:t xml:space="preserve">: </w:t>
      </w:r>
      <w:r w:rsidR="001F4600" w:rsidRPr="001F1F3C">
        <w:t>Australian manufacturing energy consumption, by subsector</w:t>
      </w:r>
      <w:bookmarkEnd w:id="79"/>
      <w:bookmarkEnd w:id="80"/>
      <w:bookmarkEnd w:id="81"/>
      <w:bookmarkEnd w:id="82"/>
    </w:p>
    <w:tbl>
      <w:tblPr>
        <w:tblW w:w="6946" w:type="dxa"/>
        <w:tblLook w:val="04A0" w:firstRow="1" w:lastRow="0" w:firstColumn="1" w:lastColumn="0" w:noHBand="0" w:noVBand="1"/>
      </w:tblPr>
      <w:tblGrid>
        <w:gridCol w:w="2410"/>
        <w:gridCol w:w="817"/>
        <w:gridCol w:w="1026"/>
        <w:gridCol w:w="425"/>
        <w:gridCol w:w="1242"/>
        <w:gridCol w:w="1026"/>
      </w:tblGrid>
      <w:tr w:rsidR="00CB4E25" w:rsidRPr="001F1F3C" w14:paraId="6A499619" w14:textId="77777777" w:rsidTr="00FB0286">
        <w:trPr>
          <w:trHeight w:val="285"/>
        </w:trPr>
        <w:tc>
          <w:tcPr>
            <w:tcW w:w="2410" w:type="dxa"/>
            <w:tcBorders>
              <w:top w:val="nil"/>
              <w:left w:val="nil"/>
              <w:bottom w:val="nil"/>
              <w:right w:val="nil"/>
            </w:tcBorders>
            <w:shd w:val="clear" w:color="000000" w:fill="22789A"/>
            <w:noWrap/>
            <w:vAlign w:val="bottom"/>
            <w:hideMark/>
          </w:tcPr>
          <w:p w14:paraId="345F2A35" w14:textId="77777777" w:rsidR="00A61377" w:rsidRPr="001F1F3C" w:rsidRDefault="00A61377" w:rsidP="000A5D4A">
            <w:pPr>
              <w:keepNext/>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1843" w:type="dxa"/>
            <w:gridSpan w:val="2"/>
            <w:tcBorders>
              <w:top w:val="nil"/>
              <w:left w:val="nil"/>
              <w:bottom w:val="nil"/>
              <w:right w:val="nil"/>
            </w:tcBorders>
            <w:shd w:val="clear" w:color="000000" w:fill="22789A"/>
            <w:noWrap/>
            <w:vAlign w:val="center"/>
            <w:hideMark/>
          </w:tcPr>
          <w:p w14:paraId="41E2F2DE" w14:textId="77BE01EA" w:rsidR="00A61377" w:rsidRPr="001F1F3C" w:rsidRDefault="003F2CCE" w:rsidP="000A5D4A">
            <w:pPr>
              <w:keepNext/>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2016–17</w:t>
            </w:r>
          </w:p>
        </w:tc>
        <w:tc>
          <w:tcPr>
            <w:tcW w:w="425" w:type="dxa"/>
            <w:tcBorders>
              <w:top w:val="nil"/>
              <w:left w:val="nil"/>
              <w:bottom w:val="nil"/>
              <w:right w:val="nil"/>
            </w:tcBorders>
            <w:shd w:val="clear" w:color="000000" w:fill="22789A"/>
            <w:noWrap/>
            <w:vAlign w:val="bottom"/>
            <w:hideMark/>
          </w:tcPr>
          <w:p w14:paraId="3A8C10A8" w14:textId="77777777" w:rsidR="00A61377" w:rsidRPr="001F1F3C" w:rsidRDefault="00A61377" w:rsidP="000A5D4A">
            <w:pPr>
              <w:keepNext/>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268" w:type="dxa"/>
            <w:gridSpan w:val="2"/>
            <w:tcBorders>
              <w:top w:val="nil"/>
              <w:left w:val="nil"/>
              <w:bottom w:val="nil"/>
              <w:right w:val="nil"/>
            </w:tcBorders>
            <w:shd w:val="clear" w:color="000000" w:fill="22789A"/>
            <w:noWrap/>
            <w:vAlign w:val="center"/>
            <w:hideMark/>
          </w:tcPr>
          <w:p w14:paraId="2A67C6FD" w14:textId="77777777" w:rsidR="00A61377" w:rsidRPr="001F1F3C" w:rsidRDefault="00A61377" w:rsidP="000A5D4A">
            <w:pPr>
              <w:keepNext/>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Average annual growth</w:t>
            </w:r>
          </w:p>
        </w:tc>
      </w:tr>
      <w:tr w:rsidR="009203C3" w:rsidRPr="001F1F3C" w14:paraId="3E3DC188" w14:textId="77777777" w:rsidTr="00FB0286">
        <w:trPr>
          <w:trHeight w:val="240"/>
        </w:trPr>
        <w:tc>
          <w:tcPr>
            <w:tcW w:w="2410" w:type="dxa"/>
            <w:vMerge w:val="restart"/>
            <w:tcBorders>
              <w:top w:val="nil"/>
              <w:left w:val="nil"/>
              <w:bottom w:val="nil"/>
              <w:right w:val="nil"/>
            </w:tcBorders>
            <w:shd w:val="clear" w:color="000000" w:fill="CAE7F3"/>
            <w:noWrap/>
            <w:vAlign w:val="bottom"/>
            <w:hideMark/>
          </w:tcPr>
          <w:p w14:paraId="24103425" w14:textId="77777777" w:rsidR="00A61377" w:rsidRPr="001F1F3C" w:rsidRDefault="00A61377" w:rsidP="000A5D4A">
            <w:pPr>
              <w:keepNext/>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817" w:type="dxa"/>
            <w:vMerge w:val="restart"/>
            <w:tcBorders>
              <w:top w:val="nil"/>
              <w:left w:val="nil"/>
              <w:bottom w:val="nil"/>
              <w:right w:val="nil"/>
            </w:tcBorders>
            <w:shd w:val="clear" w:color="000000" w:fill="CAE7F3"/>
            <w:noWrap/>
            <w:vAlign w:val="center"/>
            <w:hideMark/>
          </w:tcPr>
          <w:p w14:paraId="1CAD3AF9" w14:textId="77777777" w:rsidR="00A61377" w:rsidRPr="001F1F3C" w:rsidRDefault="00A61377" w:rsidP="000A5D4A">
            <w:pPr>
              <w:keepNext/>
              <w:spacing w:after="0" w:line="360" w:lineRule="auto"/>
              <w:ind w:left="0"/>
              <w:jc w:val="right"/>
              <w:rPr>
                <w:rFonts w:eastAsia="Times New Roman" w:cs="Arial"/>
                <w:sz w:val="18"/>
                <w:szCs w:val="18"/>
                <w:lang w:eastAsia="en-AU"/>
              </w:rPr>
            </w:pPr>
            <w:r w:rsidRPr="001F1F3C">
              <w:rPr>
                <w:rFonts w:eastAsia="Times New Roman" w:cs="Arial"/>
                <w:color w:val="595A5B" w:themeColor="text2"/>
                <w:sz w:val="18"/>
                <w:szCs w:val="18"/>
                <w:lang w:eastAsia="en-AU"/>
              </w:rPr>
              <w:t>PJ</w:t>
            </w:r>
          </w:p>
        </w:tc>
        <w:tc>
          <w:tcPr>
            <w:tcW w:w="1026" w:type="dxa"/>
            <w:tcBorders>
              <w:top w:val="nil"/>
              <w:left w:val="nil"/>
              <w:bottom w:val="nil"/>
              <w:right w:val="nil"/>
            </w:tcBorders>
            <w:shd w:val="clear" w:color="000000" w:fill="CAE7F3"/>
            <w:noWrap/>
            <w:vAlign w:val="center"/>
            <w:hideMark/>
          </w:tcPr>
          <w:p w14:paraId="3CBC1988" w14:textId="77777777" w:rsidR="00A61377" w:rsidRPr="001F1F3C" w:rsidRDefault="00A61377" w:rsidP="000A5D4A">
            <w:pPr>
              <w:keepNext/>
              <w:spacing w:after="0" w:line="360" w:lineRule="auto"/>
              <w:ind w:left="0"/>
              <w:jc w:val="right"/>
              <w:rPr>
                <w:rFonts w:eastAsia="Times New Roman" w:cs="Arial"/>
                <w:sz w:val="18"/>
                <w:szCs w:val="18"/>
                <w:lang w:eastAsia="en-AU"/>
              </w:rPr>
            </w:pPr>
            <w:r w:rsidRPr="001F1F3C">
              <w:rPr>
                <w:rFonts w:eastAsia="Times New Roman" w:cs="Arial"/>
                <w:color w:val="595A5B" w:themeColor="text2"/>
                <w:sz w:val="18"/>
                <w:szCs w:val="18"/>
                <w:lang w:eastAsia="en-AU"/>
              </w:rPr>
              <w:t>share</w:t>
            </w:r>
          </w:p>
        </w:tc>
        <w:tc>
          <w:tcPr>
            <w:tcW w:w="425" w:type="dxa"/>
            <w:vMerge w:val="restart"/>
            <w:tcBorders>
              <w:top w:val="nil"/>
              <w:left w:val="nil"/>
              <w:bottom w:val="nil"/>
              <w:right w:val="nil"/>
            </w:tcBorders>
            <w:shd w:val="clear" w:color="000000" w:fill="CAE7F3"/>
            <w:noWrap/>
            <w:vAlign w:val="bottom"/>
            <w:hideMark/>
          </w:tcPr>
          <w:p w14:paraId="172C3D4B" w14:textId="77777777" w:rsidR="00A61377" w:rsidRPr="001F1F3C" w:rsidRDefault="00A61377" w:rsidP="000A5D4A">
            <w:pPr>
              <w:keepNext/>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1242" w:type="dxa"/>
            <w:tcBorders>
              <w:top w:val="nil"/>
              <w:left w:val="nil"/>
              <w:bottom w:val="nil"/>
              <w:right w:val="nil"/>
            </w:tcBorders>
            <w:shd w:val="clear" w:color="000000" w:fill="CAE7F3"/>
            <w:noWrap/>
            <w:vAlign w:val="center"/>
            <w:hideMark/>
          </w:tcPr>
          <w:p w14:paraId="17381348" w14:textId="4F5C679E" w:rsidR="00A61377" w:rsidRPr="001F1F3C" w:rsidRDefault="003F2CCE" w:rsidP="000A5D4A">
            <w:pPr>
              <w:keepNext/>
              <w:spacing w:after="0" w:line="360" w:lineRule="auto"/>
              <w:ind w:left="0"/>
              <w:jc w:val="right"/>
              <w:rPr>
                <w:rFonts w:eastAsia="Times New Roman" w:cs="Arial"/>
                <w:sz w:val="18"/>
                <w:szCs w:val="18"/>
                <w:lang w:eastAsia="en-AU"/>
              </w:rPr>
            </w:pPr>
            <w:r w:rsidRPr="001F1F3C">
              <w:rPr>
                <w:rFonts w:eastAsia="Times New Roman" w:cs="Arial"/>
                <w:color w:val="595A5B" w:themeColor="text2"/>
                <w:sz w:val="18"/>
                <w:szCs w:val="18"/>
                <w:lang w:eastAsia="en-AU"/>
              </w:rPr>
              <w:t>2016–17</w:t>
            </w:r>
          </w:p>
        </w:tc>
        <w:tc>
          <w:tcPr>
            <w:tcW w:w="1026" w:type="dxa"/>
            <w:tcBorders>
              <w:top w:val="nil"/>
              <w:left w:val="nil"/>
              <w:bottom w:val="nil"/>
              <w:right w:val="nil"/>
            </w:tcBorders>
            <w:shd w:val="clear" w:color="000000" w:fill="CAE7F3"/>
            <w:noWrap/>
            <w:vAlign w:val="center"/>
            <w:hideMark/>
          </w:tcPr>
          <w:p w14:paraId="5D486B00" w14:textId="77777777" w:rsidR="00A61377" w:rsidRPr="001F1F3C" w:rsidRDefault="00A61377" w:rsidP="000A5D4A">
            <w:pPr>
              <w:keepNext/>
              <w:spacing w:after="0" w:line="360" w:lineRule="auto"/>
              <w:ind w:left="0"/>
              <w:jc w:val="right"/>
              <w:rPr>
                <w:rFonts w:eastAsia="Times New Roman" w:cs="Arial"/>
                <w:sz w:val="18"/>
                <w:szCs w:val="18"/>
                <w:lang w:eastAsia="en-AU"/>
              </w:rPr>
            </w:pPr>
            <w:r w:rsidRPr="001F1F3C">
              <w:rPr>
                <w:rFonts w:eastAsia="Times New Roman" w:cs="Arial"/>
                <w:color w:val="595A5B" w:themeColor="text2"/>
                <w:sz w:val="18"/>
                <w:szCs w:val="18"/>
                <w:lang w:eastAsia="en-AU"/>
              </w:rPr>
              <w:t>10 years</w:t>
            </w:r>
          </w:p>
        </w:tc>
      </w:tr>
      <w:tr w:rsidR="009203C3" w:rsidRPr="001F1F3C" w14:paraId="5EAACADD" w14:textId="77777777" w:rsidTr="00FB0286">
        <w:trPr>
          <w:trHeight w:val="240"/>
        </w:trPr>
        <w:tc>
          <w:tcPr>
            <w:tcW w:w="2410" w:type="dxa"/>
            <w:vMerge/>
            <w:tcBorders>
              <w:top w:val="nil"/>
              <w:left w:val="nil"/>
              <w:bottom w:val="nil"/>
              <w:right w:val="nil"/>
            </w:tcBorders>
            <w:vAlign w:val="center"/>
            <w:hideMark/>
          </w:tcPr>
          <w:p w14:paraId="623652C6" w14:textId="77777777" w:rsidR="00A61377" w:rsidRPr="001F1F3C" w:rsidRDefault="00A61377" w:rsidP="00F65F2C">
            <w:pPr>
              <w:spacing w:after="0" w:line="360" w:lineRule="auto"/>
              <w:ind w:left="0"/>
              <w:jc w:val="left"/>
              <w:rPr>
                <w:rFonts w:eastAsia="Times New Roman" w:cs="Arial"/>
                <w:color w:val="000000"/>
                <w:sz w:val="22"/>
                <w:lang w:eastAsia="en-AU"/>
              </w:rPr>
            </w:pPr>
          </w:p>
        </w:tc>
        <w:tc>
          <w:tcPr>
            <w:tcW w:w="817" w:type="dxa"/>
            <w:vMerge/>
            <w:tcBorders>
              <w:top w:val="nil"/>
              <w:left w:val="nil"/>
              <w:bottom w:val="nil"/>
              <w:right w:val="nil"/>
            </w:tcBorders>
            <w:vAlign w:val="center"/>
            <w:hideMark/>
          </w:tcPr>
          <w:p w14:paraId="59126400" w14:textId="77777777" w:rsidR="00A61377" w:rsidRPr="001F1F3C" w:rsidRDefault="00A61377" w:rsidP="00F65F2C">
            <w:pPr>
              <w:spacing w:after="0" w:line="360" w:lineRule="auto"/>
              <w:ind w:left="0"/>
              <w:jc w:val="left"/>
              <w:rPr>
                <w:rFonts w:eastAsia="Times New Roman" w:cs="Arial"/>
                <w:sz w:val="18"/>
                <w:szCs w:val="18"/>
                <w:lang w:eastAsia="en-AU"/>
              </w:rPr>
            </w:pPr>
          </w:p>
        </w:tc>
        <w:tc>
          <w:tcPr>
            <w:tcW w:w="1026" w:type="dxa"/>
            <w:tcBorders>
              <w:top w:val="nil"/>
              <w:left w:val="nil"/>
              <w:bottom w:val="nil"/>
              <w:right w:val="nil"/>
            </w:tcBorders>
            <w:shd w:val="clear" w:color="000000" w:fill="CAE7F3"/>
            <w:noWrap/>
            <w:vAlign w:val="center"/>
            <w:hideMark/>
          </w:tcPr>
          <w:p w14:paraId="31932752" w14:textId="77777777" w:rsidR="00A61377" w:rsidRPr="001F1F3C" w:rsidRDefault="00A61377" w:rsidP="00F65F2C">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c>
          <w:tcPr>
            <w:tcW w:w="425" w:type="dxa"/>
            <w:vMerge/>
            <w:tcBorders>
              <w:top w:val="nil"/>
              <w:left w:val="nil"/>
              <w:bottom w:val="nil"/>
              <w:right w:val="nil"/>
            </w:tcBorders>
            <w:vAlign w:val="center"/>
            <w:hideMark/>
          </w:tcPr>
          <w:p w14:paraId="75584E07" w14:textId="77777777" w:rsidR="00A61377" w:rsidRPr="001F1F3C" w:rsidRDefault="00A61377" w:rsidP="00F65F2C">
            <w:pPr>
              <w:spacing w:after="0" w:line="360" w:lineRule="auto"/>
              <w:ind w:left="0"/>
              <w:jc w:val="left"/>
              <w:rPr>
                <w:rFonts w:eastAsia="Times New Roman" w:cs="Arial"/>
                <w:color w:val="000000"/>
                <w:sz w:val="22"/>
                <w:lang w:eastAsia="en-AU"/>
              </w:rPr>
            </w:pPr>
          </w:p>
        </w:tc>
        <w:tc>
          <w:tcPr>
            <w:tcW w:w="1242" w:type="dxa"/>
            <w:tcBorders>
              <w:top w:val="nil"/>
              <w:left w:val="nil"/>
              <w:bottom w:val="nil"/>
              <w:right w:val="nil"/>
            </w:tcBorders>
            <w:shd w:val="clear" w:color="000000" w:fill="CAE7F3"/>
            <w:noWrap/>
            <w:vAlign w:val="center"/>
            <w:hideMark/>
          </w:tcPr>
          <w:p w14:paraId="57B64932" w14:textId="77777777" w:rsidR="00A61377" w:rsidRPr="001F1F3C" w:rsidRDefault="00A61377" w:rsidP="00F65F2C">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c>
          <w:tcPr>
            <w:tcW w:w="1026" w:type="dxa"/>
            <w:tcBorders>
              <w:top w:val="nil"/>
              <w:left w:val="nil"/>
              <w:bottom w:val="nil"/>
              <w:right w:val="nil"/>
            </w:tcBorders>
            <w:shd w:val="clear" w:color="000000" w:fill="CAE7F3"/>
            <w:noWrap/>
            <w:vAlign w:val="center"/>
            <w:hideMark/>
          </w:tcPr>
          <w:p w14:paraId="0722D750" w14:textId="77777777" w:rsidR="00A61377" w:rsidRPr="001F1F3C" w:rsidRDefault="00A61377" w:rsidP="00F65F2C">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r>
      <w:tr w:rsidR="009203C3" w:rsidRPr="001F1F3C" w14:paraId="20B4BB29" w14:textId="77777777" w:rsidTr="00FB0286">
        <w:trPr>
          <w:trHeight w:val="240"/>
        </w:trPr>
        <w:tc>
          <w:tcPr>
            <w:tcW w:w="2410" w:type="dxa"/>
            <w:tcBorders>
              <w:top w:val="nil"/>
              <w:left w:val="nil"/>
              <w:bottom w:val="nil"/>
              <w:right w:val="nil"/>
            </w:tcBorders>
            <w:shd w:val="clear" w:color="000000" w:fill="CAE7F3"/>
            <w:noWrap/>
            <w:vAlign w:val="center"/>
            <w:hideMark/>
          </w:tcPr>
          <w:p w14:paraId="3787F967" w14:textId="77777777" w:rsidR="00E46F79" w:rsidRPr="00060581" w:rsidRDefault="00E46F79" w:rsidP="00E46F79">
            <w:pPr>
              <w:spacing w:after="0" w:line="360" w:lineRule="auto"/>
              <w:ind w:left="0"/>
              <w:jc w:val="left"/>
              <w:rPr>
                <w:rFonts w:eastAsia="Times New Roman" w:cs="Arial"/>
                <w:sz w:val="18"/>
                <w:szCs w:val="18"/>
                <w:lang w:eastAsia="en-AU"/>
              </w:rPr>
            </w:pPr>
            <w:r w:rsidRPr="00060581">
              <w:rPr>
                <w:rFonts w:eastAsia="Times New Roman" w:cs="Arial"/>
                <w:color w:val="595A5B" w:themeColor="text2"/>
                <w:sz w:val="18"/>
                <w:szCs w:val="18"/>
                <w:lang w:eastAsia="en-AU"/>
              </w:rPr>
              <w:t>Non-ferrous metals</w:t>
            </w:r>
          </w:p>
        </w:tc>
        <w:tc>
          <w:tcPr>
            <w:tcW w:w="817" w:type="dxa"/>
            <w:tcBorders>
              <w:top w:val="nil"/>
              <w:left w:val="nil"/>
              <w:bottom w:val="nil"/>
              <w:right w:val="nil"/>
            </w:tcBorders>
            <w:shd w:val="clear" w:color="000000" w:fill="CAE7F3"/>
            <w:noWrap/>
            <w:hideMark/>
          </w:tcPr>
          <w:p w14:paraId="7677C52F" w14:textId="48B7E0D5"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341.8</w:t>
            </w:r>
          </w:p>
        </w:tc>
        <w:tc>
          <w:tcPr>
            <w:tcW w:w="1026" w:type="dxa"/>
            <w:tcBorders>
              <w:top w:val="nil"/>
              <w:left w:val="nil"/>
              <w:bottom w:val="nil"/>
              <w:right w:val="nil"/>
            </w:tcBorders>
            <w:shd w:val="clear" w:color="000000" w:fill="CAE7F3"/>
            <w:noWrap/>
            <w:hideMark/>
          </w:tcPr>
          <w:p w14:paraId="6BD49FA5" w14:textId="513930E8"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31.3</w:t>
            </w:r>
          </w:p>
        </w:tc>
        <w:tc>
          <w:tcPr>
            <w:tcW w:w="425" w:type="dxa"/>
            <w:tcBorders>
              <w:top w:val="nil"/>
              <w:left w:val="nil"/>
              <w:bottom w:val="nil"/>
              <w:right w:val="nil"/>
            </w:tcBorders>
            <w:shd w:val="clear" w:color="000000" w:fill="CAE7F3"/>
            <w:noWrap/>
            <w:hideMark/>
          </w:tcPr>
          <w:p w14:paraId="56FD7BA5" w14:textId="1A1612D8" w:rsidR="00E46F79" w:rsidRPr="00060581" w:rsidRDefault="00E46F79" w:rsidP="00E46F79">
            <w:pPr>
              <w:spacing w:after="0" w:line="360" w:lineRule="auto"/>
              <w:ind w:left="0"/>
              <w:jc w:val="right"/>
              <w:rPr>
                <w:rFonts w:eastAsia="Times New Roman" w:cs="Arial"/>
                <w:sz w:val="18"/>
                <w:szCs w:val="18"/>
                <w:lang w:eastAsia="en-AU"/>
              </w:rPr>
            </w:pPr>
          </w:p>
        </w:tc>
        <w:tc>
          <w:tcPr>
            <w:tcW w:w="1242" w:type="dxa"/>
            <w:tcBorders>
              <w:top w:val="nil"/>
              <w:left w:val="nil"/>
              <w:bottom w:val="nil"/>
              <w:right w:val="nil"/>
            </w:tcBorders>
            <w:shd w:val="clear" w:color="000000" w:fill="CAE7F3"/>
            <w:noWrap/>
            <w:hideMark/>
          </w:tcPr>
          <w:p w14:paraId="557D48C6" w14:textId="5BDDA4C9"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-2.2</w:t>
            </w:r>
          </w:p>
        </w:tc>
        <w:tc>
          <w:tcPr>
            <w:tcW w:w="1026" w:type="dxa"/>
            <w:tcBorders>
              <w:top w:val="nil"/>
              <w:left w:val="nil"/>
              <w:bottom w:val="nil"/>
              <w:right w:val="nil"/>
            </w:tcBorders>
            <w:shd w:val="clear" w:color="000000" w:fill="CAE7F3"/>
            <w:noWrap/>
            <w:hideMark/>
          </w:tcPr>
          <w:p w14:paraId="425DB9FB" w14:textId="61079553"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-1.9</w:t>
            </w:r>
          </w:p>
        </w:tc>
      </w:tr>
      <w:tr w:rsidR="009203C3" w:rsidRPr="001F1F3C" w14:paraId="7D36965D" w14:textId="77777777" w:rsidTr="00FB0286">
        <w:trPr>
          <w:trHeight w:val="240"/>
        </w:trPr>
        <w:tc>
          <w:tcPr>
            <w:tcW w:w="2410" w:type="dxa"/>
            <w:tcBorders>
              <w:top w:val="nil"/>
              <w:left w:val="nil"/>
              <w:bottom w:val="nil"/>
              <w:right w:val="nil"/>
            </w:tcBorders>
            <w:shd w:val="clear" w:color="000000" w:fill="CAE7F3"/>
            <w:noWrap/>
            <w:vAlign w:val="center"/>
            <w:hideMark/>
          </w:tcPr>
          <w:p w14:paraId="507CD9BA" w14:textId="77777777" w:rsidR="00E46F79" w:rsidRPr="00060581" w:rsidRDefault="00E46F79" w:rsidP="00E46F79">
            <w:pPr>
              <w:spacing w:after="0" w:line="360" w:lineRule="auto"/>
              <w:ind w:left="0"/>
              <w:jc w:val="left"/>
              <w:rPr>
                <w:rFonts w:eastAsia="Times New Roman" w:cs="Arial"/>
                <w:sz w:val="18"/>
                <w:szCs w:val="18"/>
                <w:lang w:eastAsia="en-AU"/>
              </w:rPr>
            </w:pPr>
            <w:r w:rsidRPr="00060581">
              <w:rPr>
                <w:rFonts w:eastAsia="Times New Roman" w:cs="Arial"/>
                <w:sz w:val="18"/>
                <w:szCs w:val="18"/>
                <w:lang w:eastAsia="en-AU"/>
              </w:rPr>
              <w:t>Chemicals</w:t>
            </w:r>
          </w:p>
        </w:tc>
        <w:tc>
          <w:tcPr>
            <w:tcW w:w="817" w:type="dxa"/>
            <w:tcBorders>
              <w:top w:val="nil"/>
              <w:left w:val="nil"/>
              <w:bottom w:val="nil"/>
              <w:right w:val="nil"/>
            </w:tcBorders>
            <w:shd w:val="clear" w:color="000000" w:fill="CAE7F3"/>
            <w:noWrap/>
            <w:hideMark/>
          </w:tcPr>
          <w:p w14:paraId="60B9997F" w14:textId="7AF876FA"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195.1</w:t>
            </w:r>
          </w:p>
        </w:tc>
        <w:tc>
          <w:tcPr>
            <w:tcW w:w="1026" w:type="dxa"/>
            <w:tcBorders>
              <w:top w:val="nil"/>
              <w:left w:val="nil"/>
              <w:bottom w:val="nil"/>
              <w:right w:val="nil"/>
            </w:tcBorders>
            <w:shd w:val="clear" w:color="000000" w:fill="CAE7F3"/>
            <w:noWrap/>
            <w:hideMark/>
          </w:tcPr>
          <w:p w14:paraId="4B4290AD" w14:textId="28F94F41"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17.8</w:t>
            </w:r>
          </w:p>
        </w:tc>
        <w:tc>
          <w:tcPr>
            <w:tcW w:w="425" w:type="dxa"/>
            <w:tcBorders>
              <w:top w:val="nil"/>
              <w:left w:val="nil"/>
              <w:bottom w:val="nil"/>
              <w:right w:val="nil"/>
            </w:tcBorders>
            <w:shd w:val="clear" w:color="000000" w:fill="CAE7F3"/>
            <w:noWrap/>
            <w:hideMark/>
          </w:tcPr>
          <w:p w14:paraId="53B51A22" w14:textId="7F6242F5" w:rsidR="00E46F79" w:rsidRPr="00060581" w:rsidRDefault="00E46F79" w:rsidP="00E46F79">
            <w:pPr>
              <w:spacing w:after="0" w:line="360" w:lineRule="auto"/>
              <w:ind w:left="0"/>
              <w:jc w:val="right"/>
              <w:rPr>
                <w:rFonts w:eastAsia="Times New Roman" w:cs="Arial"/>
                <w:sz w:val="18"/>
                <w:szCs w:val="18"/>
                <w:lang w:eastAsia="en-AU"/>
              </w:rPr>
            </w:pPr>
          </w:p>
        </w:tc>
        <w:tc>
          <w:tcPr>
            <w:tcW w:w="1242" w:type="dxa"/>
            <w:tcBorders>
              <w:top w:val="nil"/>
              <w:left w:val="nil"/>
              <w:bottom w:val="nil"/>
              <w:right w:val="nil"/>
            </w:tcBorders>
            <w:shd w:val="clear" w:color="000000" w:fill="CAE7F3"/>
            <w:noWrap/>
            <w:hideMark/>
          </w:tcPr>
          <w:p w14:paraId="65B869A9" w14:textId="77AFA2BE"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-4.0</w:t>
            </w:r>
          </w:p>
        </w:tc>
        <w:tc>
          <w:tcPr>
            <w:tcW w:w="1026" w:type="dxa"/>
            <w:tcBorders>
              <w:top w:val="nil"/>
              <w:left w:val="nil"/>
              <w:bottom w:val="nil"/>
              <w:right w:val="nil"/>
            </w:tcBorders>
            <w:shd w:val="clear" w:color="000000" w:fill="CAE7F3"/>
            <w:noWrap/>
            <w:hideMark/>
          </w:tcPr>
          <w:p w14:paraId="6EBA5408" w14:textId="2803490A"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0.3</w:t>
            </w:r>
          </w:p>
        </w:tc>
      </w:tr>
      <w:tr w:rsidR="009203C3" w:rsidRPr="001F1F3C" w14:paraId="1D9B74D3" w14:textId="77777777" w:rsidTr="00FB0286">
        <w:trPr>
          <w:trHeight w:val="240"/>
        </w:trPr>
        <w:tc>
          <w:tcPr>
            <w:tcW w:w="2410" w:type="dxa"/>
            <w:tcBorders>
              <w:top w:val="nil"/>
              <w:left w:val="nil"/>
              <w:bottom w:val="nil"/>
              <w:right w:val="nil"/>
            </w:tcBorders>
            <w:shd w:val="clear" w:color="000000" w:fill="CAE7F3"/>
            <w:noWrap/>
            <w:vAlign w:val="center"/>
            <w:hideMark/>
          </w:tcPr>
          <w:p w14:paraId="32335783" w14:textId="2C9D3153" w:rsidR="00E46F79" w:rsidRPr="00060581" w:rsidRDefault="00E46F79" w:rsidP="00E46F79">
            <w:pPr>
              <w:spacing w:after="0" w:line="360" w:lineRule="auto"/>
              <w:ind w:left="0"/>
              <w:jc w:val="left"/>
              <w:rPr>
                <w:rFonts w:eastAsia="Times New Roman" w:cs="Arial"/>
                <w:sz w:val="18"/>
                <w:szCs w:val="18"/>
                <w:lang w:eastAsia="en-AU"/>
              </w:rPr>
            </w:pPr>
            <w:r w:rsidRPr="00060581">
              <w:rPr>
                <w:rFonts w:eastAsia="Times New Roman" w:cs="Arial"/>
                <w:color w:val="595A5B" w:themeColor="text2"/>
                <w:sz w:val="18"/>
                <w:szCs w:val="18"/>
                <w:lang w:eastAsia="en-AU"/>
              </w:rPr>
              <w:t>Food, beverages</w:t>
            </w:r>
            <w:r w:rsidR="009203C3">
              <w:rPr>
                <w:rFonts w:eastAsia="Times New Roman" w:cs="Arial"/>
                <w:color w:val="595A5B" w:themeColor="text2"/>
                <w:sz w:val="18"/>
                <w:szCs w:val="18"/>
                <w:lang w:eastAsia="en-AU"/>
              </w:rPr>
              <w:t>,</w:t>
            </w:r>
            <w:r w:rsidRPr="00060581">
              <w:rPr>
                <w:rFonts w:eastAsia="Times New Roman" w:cs="Arial"/>
                <w:color w:val="595A5B" w:themeColor="text2"/>
                <w:sz w:val="18"/>
                <w:szCs w:val="18"/>
                <w:lang w:eastAsia="en-AU"/>
              </w:rPr>
              <w:t xml:space="preserve"> tobacco</w:t>
            </w:r>
          </w:p>
        </w:tc>
        <w:tc>
          <w:tcPr>
            <w:tcW w:w="817" w:type="dxa"/>
            <w:tcBorders>
              <w:top w:val="nil"/>
              <w:left w:val="nil"/>
              <w:bottom w:val="nil"/>
              <w:right w:val="nil"/>
            </w:tcBorders>
            <w:shd w:val="clear" w:color="000000" w:fill="CAE7F3"/>
            <w:noWrap/>
            <w:hideMark/>
          </w:tcPr>
          <w:p w14:paraId="76B0FB74" w14:textId="2115BB68"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164.4</w:t>
            </w:r>
          </w:p>
        </w:tc>
        <w:tc>
          <w:tcPr>
            <w:tcW w:w="1026" w:type="dxa"/>
            <w:tcBorders>
              <w:top w:val="nil"/>
              <w:left w:val="nil"/>
              <w:bottom w:val="nil"/>
              <w:right w:val="nil"/>
            </w:tcBorders>
            <w:shd w:val="clear" w:color="000000" w:fill="CAE7F3"/>
            <w:noWrap/>
            <w:hideMark/>
          </w:tcPr>
          <w:p w14:paraId="7EAB7A30" w14:textId="59C35627"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15.0</w:t>
            </w:r>
          </w:p>
        </w:tc>
        <w:tc>
          <w:tcPr>
            <w:tcW w:w="425" w:type="dxa"/>
            <w:tcBorders>
              <w:top w:val="nil"/>
              <w:left w:val="nil"/>
              <w:bottom w:val="nil"/>
              <w:right w:val="nil"/>
            </w:tcBorders>
            <w:shd w:val="clear" w:color="000000" w:fill="CAE7F3"/>
            <w:noWrap/>
            <w:hideMark/>
          </w:tcPr>
          <w:p w14:paraId="137B76C1" w14:textId="35CCFA0C" w:rsidR="00E46F79" w:rsidRPr="00060581" w:rsidRDefault="00E46F79" w:rsidP="00E46F79">
            <w:pPr>
              <w:spacing w:after="0" w:line="360" w:lineRule="auto"/>
              <w:ind w:left="0"/>
              <w:jc w:val="right"/>
              <w:rPr>
                <w:rFonts w:eastAsia="Times New Roman" w:cs="Arial"/>
                <w:sz w:val="18"/>
                <w:szCs w:val="18"/>
                <w:lang w:eastAsia="en-AU"/>
              </w:rPr>
            </w:pPr>
          </w:p>
        </w:tc>
        <w:tc>
          <w:tcPr>
            <w:tcW w:w="1242" w:type="dxa"/>
            <w:tcBorders>
              <w:top w:val="nil"/>
              <w:left w:val="nil"/>
              <w:bottom w:val="nil"/>
              <w:right w:val="nil"/>
            </w:tcBorders>
            <w:shd w:val="clear" w:color="000000" w:fill="CAE7F3"/>
            <w:noWrap/>
            <w:hideMark/>
          </w:tcPr>
          <w:p w14:paraId="02879293" w14:textId="13A17D12"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2.1</w:t>
            </w:r>
          </w:p>
        </w:tc>
        <w:tc>
          <w:tcPr>
            <w:tcW w:w="1026" w:type="dxa"/>
            <w:tcBorders>
              <w:top w:val="nil"/>
              <w:left w:val="nil"/>
              <w:bottom w:val="nil"/>
              <w:right w:val="nil"/>
            </w:tcBorders>
            <w:shd w:val="clear" w:color="000000" w:fill="CAE7F3"/>
            <w:noWrap/>
            <w:hideMark/>
          </w:tcPr>
          <w:p w14:paraId="260EB751" w14:textId="3547E5CB"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5.0</w:t>
            </w:r>
          </w:p>
        </w:tc>
      </w:tr>
      <w:tr w:rsidR="00DC586C" w:rsidRPr="00060581" w14:paraId="141A7620" w14:textId="77777777" w:rsidTr="006D2D7B">
        <w:trPr>
          <w:trHeight w:val="240"/>
        </w:trPr>
        <w:tc>
          <w:tcPr>
            <w:tcW w:w="2410" w:type="dxa"/>
            <w:tcBorders>
              <w:top w:val="nil"/>
              <w:left w:val="nil"/>
              <w:bottom w:val="nil"/>
              <w:right w:val="nil"/>
            </w:tcBorders>
            <w:shd w:val="clear" w:color="000000" w:fill="CAE7F3"/>
            <w:noWrap/>
            <w:vAlign w:val="center"/>
            <w:hideMark/>
          </w:tcPr>
          <w:p w14:paraId="1A3C4AD9" w14:textId="77777777" w:rsidR="00DC586C" w:rsidRPr="00060581" w:rsidRDefault="00DC586C" w:rsidP="006D2D7B">
            <w:pPr>
              <w:spacing w:after="0" w:line="360" w:lineRule="auto"/>
              <w:ind w:left="0"/>
              <w:jc w:val="left"/>
              <w:rPr>
                <w:rFonts w:eastAsia="Times New Roman" w:cs="Arial"/>
                <w:sz w:val="18"/>
                <w:szCs w:val="18"/>
                <w:lang w:eastAsia="en-AU"/>
              </w:rPr>
            </w:pPr>
            <w:r w:rsidRPr="00060581">
              <w:rPr>
                <w:rFonts w:eastAsia="Times New Roman" w:cs="Arial"/>
                <w:color w:val="595A5B" w:themeColor="text2"/>
                <w:sz w:val="18"/>
                <w:szCs w:val="18"/>
                <w:lang w:eastAsia="en-AU"/>
              </w:rPr>
              <w:t>Ferrous metals</w:t>
            </w:r>
          </w:p>
        </w:tc>
        <w:tc>
          <w:tcPr>
            <w:tcW w:w="817" w:type="dxa"/>
            <w:tcBorders>
              <w:top w:val="nil"/>
              <w:left w:val="nil"/>
              <w:bottom w:val="nil"/>
              <w:right w:val="nil"/>
            </w:tcBorders>
            <w:shd w:val="clear" w:color="000000" w:fill="CAE7F3"/>
            <w:noWrap/>
            <w:hideMark/>
          </w:tcPr>
          <w:p w14:paraId="16101DC2" w14:textId="77777777" w:rsidR="00DC586C" w:rsidRPr="00060581" w:rsidRDefault="00DC586C" w:rsidP="006D2D7B">
            <w:pPr>
              <w:spacing w:after="0" w:line="360" w:lineRule="auto"/>
              <w:ind w:left="0"/>
              <w:jc w:val="right"/>
              <w:rPr>
                <w:rFonts w:eastAsia="Times New Roman" w:cs="Arial"/>
                <w:sz w:val="18"/>
                <w:szCs w:val="18"/>
                <w:lang w:eastAsia="en-AU"/>
              </w:rPr>
            </w:pPr>
            <w:r w:rsidRPr="00CB4EBE">
              <w:rPr>
                <w:sz w:val="18"/>
                <w:szCs w:val="18"/>
              </w:rPr>
              <w:t>121.8</w:t>
            </w:r>
          </w:p>
        </w:tc>
        <w:tc>
          <w:tcPr>
            <w:tcW w:w="1026" w:type="dxa"/>
            <w:tcBorders>
              <w:top w:val="nil"/>
              <w:left w:val="nil"/>
              <w:bottom w:val="nil"/>
              <w:right w:val="nil"/>
            </w:tcBorders>
            <w:shd w:val="clear" w:color="000000" w:fill="CAE7F3"/>
            <w:noWrap/>
            <w:hideMark/>
          </w:tcPr>
          <w:p w14:paraId="0352546D" w14:textId="77777777" w:rsidR="00DC586C" w:rsidRPr="00060581" w:rsidRDefault="00DC586C" w:rsidP="006D2D7B">
            <w:pPr>
              <w:spacing w:after="0" w:line="360" w:lineRule="auto"/>
              <w:ind w:left="0"/>
              <w:jc w:val="right"/>
              <w:rPr>
                <w:rFonts w:eastAsia="Times New Roman" w:cs="Arial"/>
                <w:sz w:val="18"/>
                <w:szCs w:val="18"/>
                <w:lang w:eastAsia="en-AU"/>
              </w:rPr>
            </w:pPr>
            <w:r w:rsidRPr="00CB4EBE">
              <w:rPr>
                <w:sz w:val="18"/>
                <w:szCs w:val="18"/>
              </w:rPr>
              <w:t>11.1</w:t>
            </w:r>
          </w:p>
        </w:tc>
        <w:tc>
          <w:tcPr>
            <w:tcW w:w="425" w:type="dxa"/>
            <w:tcBorders>
              <w:top w:val="nil"/>
              <w:left w:val="nil"/>
              <w:bottom w:val="nil"/>
              <w:right w:val="nil"/>
            </w:tcBorders>
            <w:shd w:val="clear" w:color="000000" w:fill="CAE7F3"/>
            <w:noWrap/>
            <w:hideMark/>
          </w:tcPr>
          <w:p w14:paraId="087D8EE0" w14:textId="77777777" w:rsidR="00DC586C" w:rsidRPr="00060581" w:rsidRDefault="00DC586C" w:rsidP="006D2D7B">
            <w:pPr>
              <w:spacing w:after="0" w:line="360" w:lineRule="auto"/>
              <w:ind w:left="0"/>
              <w:jc w:val="right"/>
              <w:rPr>
                <w:rFonts w:eastAsia="Times New Roman" w:cs="Arial"/>
                <w:sz w:val="18"/>
                <w:szCs w:val="18"/>
                <w:lang w:eastAsia="en-AU"/>
              </w:rPr>
            </w:pPr>
          </w:p>
        </w:tc>
        <w:tc>
          <w:tcPr>
            <w:tcW w:w="1242" w:type="dxa"/>
            <w:tcBorders>
              <w:top w:val="nil"/>
              <w:left w:val="nil"/>
              <w:bottom w:val="nil"/>
              <w:right w:val="nil"/>
            </w:tcBorders>
            <w:shd w:val="clear" w:color="000000" w:fill="CAE7F3"/>
            <w:noWrap/>
            <w:hideMark/>
          </w:tcPr>
          <w:p w14:paraId="53DEE079" w14:textId="77777777" w:rsidR="00DC586C" w:rsidRPr="00060581" w:rsidRDefault="00DC586C" w:rsidP="006D2D7B">
            <w:pPr>
              <w:spacing w:after="0" w:line="360" w:lineRule="auto"/>
              <w:ind w:left="0"/>
              <w:jc w:val="right"/>
              <w:rPr>
                <w:rFonts w:eastAsia="Times New Roman" w:cs="Arial"/>
                <w:sz w:val="18"/>
                <w:szCs w:val="18"/>
                <w:lang w:eastAsia="en-AU"/>
              </w:rPr>
            </w:pPr>
            <w:r w:rsidRPr="00CB4EBE">
              <w:rPr>
                <w:sz w:val="18"/>
                <w:szCs w:val="18"/>
              </w:rPr>
              <w:t>3.8</w:t>
            </w:r>
          </w:p>
        </w:tc>
        <w:tc>
          <w:tcPr>
            <w:tcW w:w="1026" w:type="dxa"/>
            <w:tcBorders>
              <w:top w:val="nil"/>
              <w:left w:val="nil"/>
              <w:bottom w:val="nil"/>
              <w:right w:val="nil"/>
            </w:tcBorders>
            <w:shd w:val="clear" w:color="000000" w:fill="CAE7F3"/>
            <w:noWrap/>
            <w:hideMark/>
          </w:tcPr>
          <w:p w14:paraId="28565C2A" w14:textId="77777777" w:rsidR="00DC586C" w:rsidRPr="00060581" w:rsidRDefault="00DC586C" w:rsidP="006D2D7B">
            <w:pPr>
              <w:spacing w:after="0" w:line="360" w:lineRule="auto"/>
              <w:ind w:left="0"/>
              <w:jc w:val="right"/>
              <w:rPr>
                <w:rFonts w:eastAsia="Times New Roman" w:cs="Arial"/>
                <w:sz w:val="18"/>
                <w:szCs w:val="18"/>
                <w:lang w:eastAsia="en-AU"/>
              </w:rPr>
            </w:pPr>
            <w:r w:rsidRPr="00CB4EBE">
              <w:rPr>
                <w:sz w:val="18"/>
                <w:szCs w:val="18"/>
              </w:rPr>
              <w:t>-4.4</w:t>
            </w:r>
          </w:p>
        </w:tc>
      </w:tr>
      <w:tr w:rsidR="009203C3" w:rsidRPr="001F1F3C" w14:paraId="722112AD" w14:textId="77777777" w:rsidTr="00FB0286">
        <w:trPr>
          <w:trHeight w:val="240"/>
        </w:trPr>
        <w:tc>
          <w:tcPr>
            <w:tcW w:w="2410" w:type="dxa"/>
            <w:tcBorders>
              <w:top w:val="nil"/>
              <w:left w:val="nil"/>
              <w:bottom w:val="nil"/>
              <w:right w:val="nil"/>
            </w:tcBorders>
            <w:shd w:val="clear" w:color="000000" w:fill="CAE7F3"/>
            <w:noWrap/>
            <w:vAlign w:val="center"/>
            <w:hideMark/>
          </w:tcPr>
          <w:p w14:paraId="6FDD7753" w14:textId="77777777" w:rsidR="00E46F79" w:rsidRPr="00060581" w:rsidRDefault="00E46F79" w:rsidP="00E46F79">
            <w:pPr>
              <w:spacing w:after="0" w:line="360" w:lineRule="auto"/>
              <w:ind w:left="0"/>
              <w:jc w:val="left"/>
              <w:rPr>
                <w:rFonts w:eastAsia="Times New Roman" w:cs="Arial"/>
                <w:sz w:val="18"/>
                <w:szCs w:val="18"/>
                <w:lang w:eastAsia="en-AU"/>
              </w:rPr>
            </w:pPr>
            <w:r w:rsidRPr="00060581">
              <w:rPr>
                <w:rFonts w:eastAsia="Times New Roman" w:cs="Arial"/>
                <w:color w:val="595A5B" w:themeColor="text2"/>
                <w:sz w:val="18"/>
                <w:szCs w:val="18"/>
                <w:lang w:eastAsia="en-AU"/>
              </w:rPr>
              <w:t xml:space="preserve">Petroleum refining </w:t>
            </w:r>
            <w:r w:rsidRPr="00A03EBC">
              <w:rPr>
                <w:rFonts w:eastAsia="Times New Roman" w:cs="Arial"/>
                <w:b/>
                <w:bCs/>
                <w:sz w:val="18"/>
                <w:szCs w:val="18"/>
                <w:vertAlign w:val="superscript"/>
                <w:lang w:eastAsia="en-AU"/>
              </w:rPr>
              <w:t>a</w:t>
            </w:r>
          </w:p>
        </w:tc>
        <w:tc>
          <w:tcPr>
            <w:tcW w:w="817" w:type="dxa"/>
            <w:tcBorders>
              <w:top w:val="nil"/>
              <w:left w:val="nil"/>
              <w:bottom w:val="nil"/>
              <w:right w:val="nil"/>
            </w:tcBorders>
            <w:shd w:val="clear" w:color="000000" w:fill="CAE7F3"/>
            <w:noWrap/>
            <w:hideMark/>
          </w:tcPr>
          <w:p w14:paraId="1E379F98" w14:textId="224776D0"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81.7</w:t>
            </w:r>
          </w:p>
        </w:tc>
        <w:tc>
          <w:tcPr>
            <w:tcW w:w="1026" w:type="dxa"/>
            <w:tcBorders>
              <w:top w:val="nil"/>
              <w:left w:val="nil"/>
              <w:bottom w:val="nil"/>
              <w:right w:val="nil"/>
            </w:tcBorders>
            <w:shd w:val="clear" w:color="000000" w:fill="CAE7F3"/>
            <w:noWrap/>
            <w:hideMark/>
          </w:tcPr>
          <w:p w14:paraId="56F2482F" w14:textId="2AA5C9C7"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7.5</w:t>
            </w:r>
          </w:p>
        </w:tc>
        <w:tc>
          <w:tcPr>
            <w:tcW w:w="425" w:type="dxa"/>
            <w:tcBorders>
              <w:top w:val="nil"/>
              <w:left w:val="nil"/>
              <w:bottom w:val="nil"/>
              <w:right w:val="nil"/>
            </w:tcBorders>
            <w:shd w:val="clear" w:color="000000" w:fill="CAE7F3"/>
            <w:noWrap/>
            <w:hideMark/>
          </w:tcPr>
          <w:p w14:paraId="27C8153B" w14:textId="353AA452" w:rsidR="00E46F79" w:rsidRPr="00060581" w:rsidRDefault="00E46F79" w:rsidP="00E46F79">
            <w:pPr>
              <w:spacing w:after="0" w:line="360" w:lineRule="auto"/>
              <w:ind w:left="0"/>
              <w:jc w:val="right"/>
              <w:rPr>
                <w:rFonts w:eastAsia="Times New Roman" w:cs="Arial"/>
                <w:sz w:val="18"/>
                <w:szCs w:val="18"/>
                <w:lang w:eastAsia="en-AU"/>
              </w:rPr>
            </w:pPr>
          </w:p>
        </w:tc>
        <w:tc>
          <w:tcPr>
            <w:tcW w:w="1242" w:type="dxa"/>
            <w:tcBorders>
              <w:top w:val="nil"/>
              <w:left w:val="nil"/>
              <w:bottom w:val="nil"/>
              <w:right w:val="nil"/>
            </w:tcBorders>
            <w:shd w:val="clear" w:color="000000" w:fill="CAE7F3"/>
            <w:noWrap/>
            <w:hideMark/>
          </w:tcPr>
          <w:p w14:paraId="41E35053" w14:textId="25BEAD24"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-5.3</w:t>
            </w:r>
          </w:p>
        </w:tc>
        <w:tc>
          <w:tcPr>
            <w:tcW w:w="1026" w:type="dxa"/>
            <w:tcBorders>
              <w:top w:val="nil"/>
              <w:left w:val="nil"/>
              <w:bottom w:val="nil"/>
              <w:right w:val="nil"/>
            </w:tcBorders>
            <w:shd w:val="clear" w:color="000000" w:fill="CAE7F3"/>
            <w:noWrap/>
            <w:hideMark/>
          </w:tcPr>
          <w:p w14:paraId="488D5C77" w14:textId="1F04FF45"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0.2</w:t>
            </w:r>
          </w:p>
        </w:tc>
      </w:tr>
      <w:tr w:rsidR="009203C3" w:rsidRPr="001F1F3C" w14:paraId="1993A9AE" w14:textId="77777777" w:rsidTr="00FB0286">
        <w:trPr>
          <w:trHeight w:val="240"/>
        </w:trPr>
        <w:tc>
          <w:tcPr>
            <w:tcW w:w="2410" w:type="dxa"/>
            <w:tcBorders>
              <w:top w:val="nil"/>
              <w:left w:val="nil"/>
              <w:bottom w:val="nil"/>
              <w:right w:val="nil"/>
            </w:tcBorders>
            <w:shd w:val="clear" w:color="000000" w:fill="CAE7F3"/>
            <w:noWrap/>
            <w:vAlign w:val="center"/>
            <w:hideMark/>
          </w:tcPr>
          <w:p w14:paraId="79D661B1" w14:textId="77777777" w:rsidR="00E46F79" w:rsidRPr="00060581" w:rsidRDefault="00E46F79" w:rsidP="00E46F79">
            <w:pPr>
              <w:spacing w:after="0" w:line="360" w:lineRule="auto"/>
              <w:ind w:left="0"/>
              <w:jc w:val="left"/>
              <w:rPr>
                <w:rFonts w:eastAsia="Times New Roman" w:cs="Arial"/>
                <w:sz w:val="18"/>
                <w:szCs w:val="18"/>
                <w:lang w:eastAsia="en-AU"/>
              </w:rPr>
            </w:pPr>
            <w:r w:rsidRPr="00060581">
              <w:rPr>
                <w:rFonts w:eastAsia="Times New Roman" w:cs="Arial"/>
                <w:color w:val="595A5B" w:themeColor="text2"/>
                <w:sz w:val="18"/>
                <w:szCs w:val="18"/>
                <w:lang w:eastAsia="en-AU"/>
              </w:rPr>
              <w:t>Wood, paper and printing</w:t>
            </w:r>
          </w:p>
        </w:tc>
        <w:tc>
          <w:tcPr>
            <w:tcW w:w="817" w:type="dxa"/>
            <w:tcBorders>
              <w:top w:val="nil"/>
              <w:left w:val="nil"/>
              <w:bottom w:val="nil"/>
              <w:right w:val="nil"/>
            </w:tcBorders>
            <w:shd w:val="clear" w:color="000000" w:fill="CAE7F3"/>
            <w:noWrap/>
            <w:hideMark/>
          </w:tcPr>
          <w:p w14:paraId="306EC467" w14:textId="1DC1AE98"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62.9</w:t>
            </w:r>
          </w:p>
        </w:tc>
        <w:tc>
          <w:tcPr>
            <w:tcW w:w="1026" w:type="dxa"/>
            <w:tcBorders>
              <w:top w:val="nil"/>
              <w:left w:val="nil"/>
              <w:bottom w:val="nil"/>
              <w:right w:val="nil"/>
            </w:tcBorders>
            <w:shd w:val="clear" w:color="000000" w:fill="CAE7F3"/>
            <w:noWrap/>
            <w:hideMark/>
          </w:tcPr>
          <w:p w14:paraId="24717C0F" w14:textId="2A53BD5C"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5.7</w:t>
            </w:r>
          </w:p>
        </w:tc>
        <w:tc>
          <w:tcPr>
            <w:tcW w:w="425" w:type="dxa"/>
            <w:tcBorders>
              <w:top w:val="nil"/>
              <w:left w:val="nil"/>
              <w:bottom w:val="nil"/>
              <w:right w:val="nil"/>
            </w:tcBorders>
            <w:shd w:val="clear" w:color="000000" w:fill="CAE7F3"/>
            <w:noWrap/>
            <w:hideMark/>
          </w:tcPr>
          <w:p w14:paraId="30B120B8" w14:textId="6994387A" w:rsidR="00E46F79" w:rsidRPr="00060581" w:rsidRDefault="00E46F79" w:rsidP="00E46F79">
            <w:pPr>
              <w:spacing w:after="0" w:line="360" w:lineRule="auto"/>
              <w:ind w:left="0"/>
              <w:jc w:val="right"/>
              <w:rPr>
                <w:rFonts w:eastAsia="Times New Roman" w:cs="Arial"/>
                <w:sz w:val="18"/>
                <w:szCs w:val="18"/>
                <w:lang w:eastAsia="en-AU"/>
              </w:rPr>
            </w:pPr>
          </w:p>
        </w:tc>
        <w:tc>
          <w:tcPr>
            <w:tcW w:w="1242" w:type="dxa"/>
            <w:tcBorders>
              <w:top w:val="nil"/>
              <w:left w:val="nil"/>
              <w:bottom w:val="nil"/>
              <w:right w:val="nil"/>
            </w:tcBorders>
            <w:shd w:val="clear" w:color="000000" w:fill="CAE7F3"/>
            <w:noWrap/>
            <w:hideMark/>
          </w:tcPr>
          <w:p w14:paraId="16410172" w14:textId="76479A27"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1.1</w:t>
            </w:r>
          </w:p>
        </w:tc>
        <w:tc>
          <w:tcPr>
            <w:tcW w:w="1026" w:type="dxa"/>
            <w:tcBorders>
              <w:top w:val="nil"/>
              <w:left w:val="nil"/>
              <w:bottom w:val="nil"/>
              <w:right w:val="nil"/>
            </w:tcBorders>
            <w:shd w:val="clear" w:color="000000" w:fill="CAE7F3"/>
            <w:noWrap/>
            <w:hideMark/>
          </w:tcPr>
          <w:p w14:paraId="56E13AA5" w14:textId="33F1B158"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-1.5</w:t>
            </w:r>
          </w:p>
        </w:tc>
      </w:tr>
      <w:tr w:rsidR="009203C3" w:rsidRPr="001F1F3C" w14:paraId="2E649ED1" w14:textId="77777777" w:rsidTr="00FB0286">
        <w:trPr>
          <w:trHeight w:val="240"/>
        </w:trPr>
        <w:tc>
          <w:tcPr>
            <w:tcW w:w="2410" w:type="dxa"/>
            <w:tcBorders>
              <w:top w:val="nil"/>
              <w:left w:val="nil"/>
              <w:bottom w:val="nil"/>
              <w:right w:val="nil"/>
            </w:tcBorders>
            <w:shd w:val="clear" w:color="000000" w:fill="CAE7F3"/>
            <w:noWrap/>
            <w:vAlign w:val="center"/>
            <w:hideMark/>
          </w:tcPr>
          <w:p w14:paraId="50E1349A" w14:textId="77777777" w:rsidR="00E46F79" w:rsidRPr="00060581" w:rsidRDefault="00E46F79" w:rsidP="00E46F79">
            <w:pPr>
              <w:spacing w:after="0" w:line="360" w:lineRule="auto"/>
              <w:ind w:left="0"/>
              <w:jc w:val="left"/>
              <w:rPr>
                <w:rFonts w:eastAsia="Times New Roman" w:cs="Arial"/>
                <w:sz w:val="18"/>
                <w:szCs w:val="18"/>
                <w:lang w:eastAsia="en-AU"/>
              </w:rPr>
            </w:pPr>
            <w:r w:rsidRPr="00060581">
              <w:rPr>
                <w:rFonts w:eastAsia="Times New Roman" w:cs="Arial"/>
                <w:color w:val="595A5B" w:themeColor="text2"/>
                <w:sz w:val="18"/>
                <w:szCs w:val="18"/>
                <w:lang w:eastAsia="en-AU"/>
              </w:rPr>
              <w:t>Cement</w:t>
            </w:r>
          </w:p>
        </w:tc>
        <w:tc>
          <w:tcPr>
            <w:tcW w:w="817" w:type="dxa"/>
            <w:tcBorders>
              <w:top w:val="nil"/>
              <w:left w:val="nil"/>
              <w:bottom w:val="nil"/>
              <w:right w:val="nil"/>
            </w:tcBorders>
            <w:shd w:val="clear" w:color="000000" w:fill="CAE7F3"/>
            <w:noWrap/>
            <w:hideMark/>
          </w:tcPr>
          <w:p w14:paraId="6AABE138" w14:textId="5A2D5B74"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54.8</w:t>
            </w:r>
          </w:p>
        </w:tc>
        <w:tc>
          <w:tcPr>
            <w:tcW w:w="1026" w:type="dxa"/>
            <w:tcBorders>
              <w:top w:val="nil"/>
              <w:left w:val="nil"/>
              <w:bottom w:val="nil"/>
              <w:right w:val="nil"/>
            </w:tcBorders>
            <w:shd w:val="clear" w:color="000000" w:fill="CAE7F3"/>
            <w:noWrap/>
            <w:hideMark/>
          </w:tcPr>
          <w:p w14:paraId="5EEC030C" w14:textId="191A4CDB"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5.0</w:t>
            </w:r>
          </w:p>
        </w:tc>
        <w:tc>
          <w:tcPr>
            <w:tcW w:w="425" w:type="dxa"/>
            <w:tcBorders>
              <w:top w:val="nil"/>
              <w:left w:val="nil"/>
              <w:bottom w:val="nil"/>
              <w:right w:val="nil"/>
            </w:tcBorders>
            <w:shd w:val="clear" w:color="000000" w:fill="CAE7F3"/>
            <w:noWrap/>
            <w:hideMark/>
          </w:tcPr>
          <w:p w14:paraId="1F3DDE2B" w14:textId="21032DA0" w:rsidR="00E46F79" w:rsidRPr="00060581" w:rsidRDefault="00E46F79" w:rsidP="00E46F79">
            <w:pPr>
              <w:spacing w:after="0" w:line="360" w:lineRule="auto"/>
              <w:ind w:left="0"/>
              <w:jc w:val="right"/>
              <w:rPr>
                <w:rFonts w:eastAsia="Times New Roman" w:cs="Arial"/>
                <w:sz w:val="18"/>
                <w:szCs w:val="18"/>
                <w:lang w:eastAsia="en-AU"/>
              </w:rPr>
            </w:pPr>
          </w:p>
        </w:tc>
        <w:tc>
          <w:tcPr>
            <w:tcW w:w="1242" w:type="dxa"/>
            <w:tcBorders>
              <w:top w:val="nil"/>
              <w:left w:val="nil"/>
              <w:bottom w:val="nil"/>
              <w:right w:val="nil"/>
            </w:tcBorders>
            <w:shd w:val="clear" w:color="000000" w:fill="CAE7F3"/>
            <w:noWrap/>
            <w:hideMark/>
          </w:tcPr>
          <w:p w14:paraId="2380E64C" w14:textId="11FA1238"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-5.9</w:t>
            </w:r>
          </w:p>
        </w:tc>
        <w:tc>
          <w:tcPr>
            <w:tcW w:w="1026" w:type="dxa"/>
            <w:tcBorders>
              <w:top w:val="nil"/>
              <w:left w:val="nil"/>
              <w:bottom w:val="nil"/>
              <w:right w:val="nil"/>
            </w:tcBorders>
            <w:shd w:val="clear" w:color="000000" w:fill="CAE7F3"/>
            <w:noWrap/>
            <w:hideMark/>
          </w:tcPr>
          <w:p w14:paraId="230FC0D0" w14:textId="41999F92" w:rsidR="00E46F79" w:rsidRPr="00060581" w:rsidRDefault="00E46F79" w:rsidP="00E46F79">
            <w:pPr>
              <w:spacing w:after="0" w:line="360" w:lineRule="auto"/>
              <w:ind w:left="0"/>
              <w:jc w:val="right"/>
              <w:rPr>
                <w:rFonts w:eastAsia="Times New Roman" w:cs="Arial"/>
                <w:sz w:val="18"/>
                <w:szCs w:val="18"/>
                <w:lang w:eastAsia="en-AU"/>
              </w:rPr>
            </w:pPr>
            <w:r w:rsidRPr="00CB4EBE">
              <w:rPr>
                <w:sz w:val="18"/>
                <w:szCs w:val="18"/>
              </w:rPr>
              <w:t>-3.1</w:t>
            </w:r>
          </w:p>
        </w:tc>
      </w:tr>
      <w:tr w:rsidR="009203C3" w:rsidRPr="001F1F3C" w14:paraId="7316489B" w14:textId="77777777" w:rsidTr="00FB0286">
        <w:trPr>
          <w:trHeight w:val="240"/>
        </w:trPr>
        <w:tc>
          <w:tcPr>
            <w:tcW w:w="2410" w:type="dxa"/>
            <w:tcBorders>
              <w:top w:val="nil"/>
              <w:left w:val="nil"/>
              <w:bottom w:val="nil"/>
              <w:right w:val="nil"/>
            </w:tcBorders>
            <w:shd w:val="clear" w:color="000000" w:fill="CAE7F3"/>
            <w:noWrap/>
            <w:vAlign w:val="center"/>
            <w:hideMark/>
          </w:tcPr>
          <w:p w14:paraId="652D74B1" w14:textId="77777777" w:rsidR="00E46F79" w:rsidRPr="00060581" w:rsidRDefault="00E46F79" w:rsidP="00E46F79">
            <w:pPr>
              <w:spacing w:after="0" w:line="480" w:lineRule="auto"/>
              <w:ind w:left="0"/>
              <w:jc w:val="left"/>
              <w:rPr>
                <w:rFonts w:eastAsia="Times New Roman" w:cs="Arial"/>
                <w:sz w:val="18"/>
                <w:szCs w:val="18"/>
                <w:lang w:eastAsia="en-AU"/>
              </w:rPr>
            </w:pPr>
            <w:r w:rsidRPr="00060581">
              <w:rPr>
                <w:rFonts w:eastAsia="Times New Roman" w:cs="Arial"/>
                <w:color w:val="595A5B" w:themeColor="text2"/>
                <w:sz w:val="18"/>
                <w:szCs w:val="18"/>
                <w:lang w:eastAsia="en-AU"/>
              </w:rPr>
              <w:t>Other</w:t>
            </w:r>
          </w:p>
        </w:tc>
        <w:tc>
          <w:tcPr>
            <w:tcW w:w="817" w:type="dxa"/>
            <w:tcBorders>
              <w:top w:val="nil"/>
              <w:left w:val="nil"/>
              <w:bottom w:val="nil"/>
              <w:right w:val="nil"/>
            </w:tcBorders>
            <w:shd w:val="clear" w:color="000000" w:fill="CAE7F3"/>
            <w:noWrap/>
            <w:hideMark/>
          </w:tcPr>
          <w:p w14:paraId="1BE2900E" w14:textId="3D8B8AD7" w:rsidR="00E46F79" w:rsidRPr="00060581" w:rsidRDefault="00E46F79" w:rsidP="00E46F79">
            <w:pPr>
              <w:spacing w:after="0" w:line="480" w:lineRule="auto"/>
              <w:ind w:left="0"/>
              <w:jc w:val="right"/>
              <w:rPr>
                <w:rFonts w:eastAsia="Times New Roman" w:cs="Arial"/>
                <w:sz w:val="18"/>
                <w:szCs w:val="18"/>
                <w:lang w:eastAsia="en-AU"/>
              </w:rPr>
            </w:pPr>
            <w:r w:rsidRPr="00CB4EBE">
              <w:rPr>
                <w:sz w:val="18"/>
                <w:szCs w:val="18"/>
              </w:rPr>
              <w:t>71.3</w:t>
            </w:r>
          </w:p>
        </w:tc>
        <w:tc>
          <w:tcPr>
            <w:tcW w:w="1026" w:type="dxa"/>
            <w:tcBorders>
              <w:top w:val="nil"/>
              <w:left w:val="nil"/>
              <w:bottom w:val="nil"/>
              <w:right w:val="nil"/>
            </w:tcBorders>
            <w:shd w:val="clear" w:color="000000" w:fill="CAE7F3"/>
            <w:noWrap/>
            <w:hideMark/>
          </w:tcPr>
          <w:p w14:paraId="5DBD3630" w14:textId="2D5A3C0A" w:rsidR="00E46F79" w:rsidRPr="00060581" w:rsidRDefault="00E46F79" w:rsidP="00E46F79">
            <w:pPr>
              <w:spacing w:after="0" w:line="480" w:lineRule="auto"/>
              <w:ind w:left="0"/>
              <w:jc w:val="right"/>
              <w:rPr>
                <w:rFonts w:eastAsia="Times New Roman" w:cs="Arial"/>
                <w:sz w:val="18"/>
                <w:szCs w:val="18"/>
                <w:lang w:eastAsia="en-AU"/>
              </w:rPr>
            </w:pPr>
            <w:r w:rsidRPr="00CB4EBE">
              <w:rPr>
                <w:sz w:val="18"/>
                <w:szCs w:val="18"/>
              </w:rPr>
              <w:t>6.5</w:t>
            </w:r>
          </w:p>
        </w:tc>
        <w:tc>
          <w:tcPr>
            <w:tcW w:w="425" w:type="dxa"/>
            <w:tcBorders>
              <w:top w:val="nil"/>
              <w:left w:val="nil"/>
              <w:bottom w:val="nil"/>
              <w:right w:val="nil"/>
            </w:tcBorders>
            <w:shd w:val="clear" w:color="000000" w:fill="CAE7F3"/>
            <w:noWrap/>
            <w:hideMark/>
          </w:tcPr>
          <w:p w14:paraId="3ED4A5C1" w14:textId="79BE0E9E" w:rsidR="00E46F79" w:rsidRPr="00060581" w:rsidRDefault="00E46F79" w:rsidP="00E46F79">
            <w:pPr>
              <w:spacing w:after="0" w:line="480" w:lineRule="auto"/>
              <w:ind w:left="0"/>
              <w:jc w:val="right"/>
              <w:rPr>
                <w:rFonts w:eastAsia="Times New Roman" w:cs="Arial"/>
                <w:sz w:val="18"/>
                <w:szCs w:val="18"/>
                <w:lang w:eastAsia="en-AU"/>
              </w:rPr>
            </w:pPr>
          </w:p>
        </w:tc>
        <w:tc>
          <w:tcPr>
            <w:tcW w:w="1242" w:type="dxa"/>
            <w:tcBorders>
              <w:top w:val="nil"/>
              <w:left w:val="nil"/>
              <w:bottom w:val="nil"/>
              <w:right w:val="nil"/>
            </w:tcBorders>
            <w:shd w:val="clear" w:color="000000" w:fill="CAE7F3"/>
            <w:noWrap/>
            <w:hideMark/>
          </w:tcPr>
          <w:p w14:paraId="7EE7C08A" w14:textId="0B43AC14" w:rsidR="00E46F79" w:rsidRPr="00060581" w:rsidRDefault="00E46F79" w:rsidP="00E46F79">
            <w:pPr>
              <w:spacing w:after="0" w:line="480" w:lineRule="auto"/>
              <w:ind w:left="0"/>
              <w:jc w:val="right"/>
              <w:rPr>
                <w:rFonts w:eastAsia="Times New Roman" w:cs="Arial"/>
                <w:sz w:val="18"/>
                <w:szCs w:val="18"/>
                <w:lang w:eastAsia="en-AU"/>
              </w:rPr>
            </w:pPr>
            <w:r w:rsidRPr="00CB4EBE">
              <w:rPr>
                <w:sz w:val="18"/>
                <w:szCs w:val="18"/>
              </w:rPr>
              <w:t>-10.9</w:t>
            </w:r>
          </w:p>
        </w:tc>
        <w:tc>
          <w:tcPr>
            <w:tcW w:w="1026" w:type="dxa"/>
            <w:tcBorders>
              <w:top w:val="nil"/>
              <w:left w:val="nil"/>
              <w:bottom w:val="nil"/>
              <w:right w:val="nil"/>
            </w:tcBorders>
            <w:shd w:val="clear" w:color="000000" w:fill="CAE7F3"/>
            <w:noWrap/>
            <w:hideMark/>
          </w:tcPr>
          <w:p w14:paraId="1BD26FC3" w14:textId="3E2D254D" w:rsidR="00E46F79" w:rsidRPr="00060581" w:rsidRDefault="00E46F79" w:rsidP="00E46F79">
            <w:pPr>
              <w:spacing w:after="0" w:line="480" w:lineRule="auto"/>
              <w:ind w:left="0"/>
              <w:jc w:val="right"/>
              <w:rPr>
                <w:rFonts w:eastAsia="Times New Roman" w:cs="Arial"/>
                <w:sz w:val="18"/>
                <w:szCs w:val="18"/>
                <w:lang w:eastAsia="en-AU"/>
              </w:rPr>
            </w:pPr>
            <w:r w:rsidRPr="00CB4EBE">
              <w:rPr>
                <w:sz w:val="18"/>
                <w:szCs w:val="18"/>
              </w:rPr>
              <w:t>-3.6</w:t>
            </w:r>
          </w:p>
        </w:tc>
      </w:tr>
      <w:tr w:rsidR="009203C3" w:rsidRPr="001F1F3C" w14:paraId="3631A667" w14:textId="77777777" w:rsidTr="00FB0286">
        <w:trPr>
          <w:trHeight w:val="240"/>
        </w:trPr>
        <w:tc>
          <w:tcPr>
            <w:tcW w:w="2410" w:type="dxa"/>
            <w:tcBorders>
              <w:top w:val="nil"/>
              <w:left w:val="nil"/>
              <w:bottom w:val="nil"/>
              <w:right w:val="nil"/>
            </w:tcBorders>
            <w:shd w:val="clear" w:color="000000" w:fill="CAE7F3"/>
            <w:noWrap/>
            <w:vAlign w:val="center"/>
            <w:hideMark/>
          </w:tcPr>
          <w:p w14:paraId="38EC4810" w14:textId="77777777" w:rsidR="00E46F79" w:rsidRPr="00060581" w:rsidRDefault="00E46F79" w:rsidP="00E46F79">
            <w:pPr>
              <w:spacing w:after="0" w:line="360" w:lineRule="auto"/>
              <w:ind w:left="0"/>
              <w:jc w:val="left"/>
              <w:rPr>
                <w:rFonts w:eastAsia="Times New Roman" w:cs="Arial"/>
                <w:b/>
                <w:bCs/>
                <w:sz w:val="18"/>
                <w:szCs w:val="18"/>
                <w:lang w:eastAsia="en-AU"/>
              </w:rPr>
            </w:pPr>
            <w:r w:rsidRPr="00060581">
              <w:rPr>
                <w:rFonts w:eastAsia="Times New Roman" w:cs="Arial"/>
                <w:b/>
                <w:bCs/>
                <w:color w:val="595A5B" w:themeColor="text2"/>
                <w:sz w:val="18"/>
                <w:szCs w:val="18"/>
                <w:lang w:eastAsia="en-AU"/>
              </w:rPr>
              <w:t>Total</w:t>
            </w:r>
          </w:p>
        </w:tc>
        <w:tc>
          <w:tcPr>
            <w:tcW w:w="817" w:type="dxa"/>
            <w:tcBorders>
              <w:top w:val="nil"/>
              <w:left w:val="nil"/>
              <w:bottom w:val="nil"/>
              <w:right w:val="nil"/>
            </w:tcBorders>
            <w:shd w:val="clear" w:color="000000" w:fill="CAE7F3"/>
            <w:noWrap/>
            <w:hideMark/>
          </w:tcPr>
          <w:p w14:paraId="5B955B10" w14:textId="2579FF9E" w:rsidR="00E46F79" w:rsidRPr="00060581" w:rsidRDefault="00E46F79" w:rsidP="00E46F79">
            <w:pPr>
              <w:spacing w:after="0" w:line="360" w:lineRule="auto"/>
              <w:ind w:left="0"/>
              <w:jc w:val="right"/>
              <w:rPr>
                <w:rFonts w:eastAsia="Times New Roman" w:cs="Arial"/>
                <w:b/>
                <w:sz w:val="18"/>
                <w:szCs w:val="18"/>
                <w:lang w:eastAsia="en-AU"/>
              </w:rPr>
            </w:pPr>
            <w:r w:rsidRPr="00CB4EBE">
              <w:rPr>
                <w:b/>
                <w:sz w:val="18"/>
                <w:szCs w:val="18"/>
              </w:rPr>
              <w:t xml:space="preserve">1,093.7 </w:t>
            </w:r>
          </w:p>
        </w:tc>
        <w:tc>
          <w:tcPr>
            <w:tcW w:w="1026" w:type="dxa"/>
            <w:tcBorders>
              <w:top w:val="nil"/>
              <w:left w:val="nil"/>
              <w:bottom w:val="nil"/>
              <w:right w:val="nil"/>
            </w:tcBorders>
            <w:shd w:val="clear" w:color="000000" w:fill="CAE7F3"/>
            <w:noWrap/>
            <w:hideMark/>
          </w:tcPr>
          <w:p w14:paraId="0BD35912" w14:textId="51EA67D4" w:rsidR="00E46F79" w:rsidRPr="00060581" w:rsidRDefault="00E46F79" w:rsidP="00E46F79">
            <w:pPr>
              <w:spacing w:after="0" w:line="360" w:lineRule="auto"/>
              <w:ind w:left="0"/>
              <w:jc w:val="right"/>
              <w:rPr>
                <w:rFonts w:eastAsia="Times New Roman" w:cs="Arial"/>
                <w:b/>
                <w:sz w:val="18"/>
                <w:szCs w:val="18"/>
                <w:lang w:eastAsia="en-AU"/>
              </w:rPr>
            </w:pPr>
            <w:r w:rsidRPr="00CB4EBE">
              <w:rPr>
                <w:b/>
                <w:sz w:val="18"/>
                <w:szCs w:val="18"/>
              </w:rPr>
              <w:t>100.0</w:t>
            </w:r>
          </w:p>
        </w:tc>
        <w:tc>
          <w:tcPr>
            <w:tcW w:w="425" w:type="dxa"/>
            <w:tcBorders>
              <w:top w:val="nil"/>
              <w:left w:val="nil"/>
              <w:bottom w:val="nil"/>
              <w:right w:val="nil"/>
            </w:tcBorders>
            <w:shd w:val="clear" w:color="000000" w:fill="CAE7F3"/>
            <w:noWrap/>
            <w:hideMark/>
          </w:tcPr>
          <w:p w14:paraId="460CBC5D" w14:textId="289E1BC4" w:rsidR="00E46F79" w:rsidRPr="00060581" w:rsidRDefault="00E46F79" w:rsidP="00E46F79">
            <w:pPr>
              <w:spacing w:after="0" w:line="360" w:lineRule="auto"/>
              <w:ind w:left="0"/>
              <w:jc w:val="right"/>
              <w:rPr>
                <w:rFonts w:eastAsia="Times New Roman" w:cs="Arial"/>
                <w:b/>
                <w:sz w:val="18"/>
                <w:szCs w:val="18"/>
                <w:lang w:eastAsia="en-AU"/>
              </w:rPr>
            </w:pPr>
          </w:p>
        </w:tc>
        <w:tc>
          <w:tcPr>
            <w:tcW w:w="1242" w:type="dxa"/>
            <w:tcBorders>
              <w:top w:val="nil"/>
              <w:left w:val="nil"/>
              <w:bottom w:val="nil"/>
              <w:right w:val="nil"/>
            </w:tcBorders>
            <w:shd w:val="clear" w:color="000000" w:fill="CAE7F3"/>
            <w:noWrap/>
            <w:hideMark/>
          </w:tcPr>
          <w:p w14:paraId="71A317CB" w14:textId="549BE952" w:rsidR="00E46F79" w:rsidRPr="00060581" w:rsidRDefault="00E46F79" w:rsidP="00E46F79">
            <w:pPr>
              <w:spacing w:after="0" w:line="360" w:lineRule="auto"/>
              <w:ind w:left="0"/>
              <w:jc w:val="right"/>
              <w:rPr>
                <w:rFonts w:eastAsia="Times New Roman" w:cs="Arial"/>
                <w:b/>
                <w:sz w:val="18"/>
                <w:szCs w:val="18"/>
                <w:lang w:eastAsia="en-AU"/>
              </w:rPr>
            </w:pPr>
            <w:r w:rsidRPr="00CB4EBE">
              <w:rPr>
                <w:b/>
                <w:sz w:val="18"/>
                <w:szCs w:val="18"/>
              </w:rPr>
              <w:t>-2.2</w:t>
            </w:r>
          </w:p>
        </w:tc>
        <w:tc>
          <w:tcPr>
            <w:tcW w:w="1026" w:type="dxa"/>
            <w:tcBorders>
              <w:top w:val="nil"/>
              <w:left w:val="nil"/>
              <w:bottom w:val="nil"/>
              <w:right w:val="nil"/>
            </w:tcBorders>
            <w:shd w:val="clear" w:color="000000" w:fill="CAE7F3"/>
            <w:noWrap/>
            <w:hideMark/>
          </w:tcPr>
          <w:p w14:paraId="18D4C90D" w14:textId="7C52D4B0" w:rsidR="00E46F79" w:rsidRPr="00060581" w:rsidRDefault="00E46F79" w:rsidP="00E46F79">
            <w:pPr>
              <w:spacing w:after="0" w:line="360" w:lineRule="auto"/>
              <w:ind w:left="0"/>
              <w:jc w:val="right"/>
              <w:rPr>
                <w:rFonts w:eastAsia="Times New Roman" w:cs="Arial"/>
                <w:b/>
                <w:sz w:val="18"/>
                <w:szCs w:val="18"/>
                <w:lang w:eastAsia="en-AU"/>
              </w:rPr>
            </w:pPr>
            <w:r w:rsidRPr="00CB4EBE">
              <w:rPr>
                <w:b/>
                <w:sz w:val="18"/>
                <w:szCs w:val="18"/>
              </w:rPr>
              <w:t>-1.1</w:t>
            </w:r>
          </w:p>
        </w:tc>
      </w:tr>
    </w:tbl>
    <w:p w14:paraId="29C99D7A" w14:textId="144A9C1E" w:rsidR="001F4600" w:rsidRPr="001F1F3C" w:rsidRDefault="001F4600" w:rsidP="00710CC3">
      <w:pPr>
        <w:pStyle w:val="Note"/>
        <w:pBdr>
          <w:bottom w:val="none" w:sz="0" w:space="0" w:color="auto"/>
        </w:pBdr>
        <w:jc w:val="left"/>
        <w:rPr>
          <w:color w:val="595A5B" w:themeColor="text1"/>
        </w:rPr>
      </w:pPr>
      <w:r w:rsidRPr="001F1F3C">
        <w:rPr>
          <w:color w:val="595A5B" w:themeColor="text1"/>
        </w:rPr>
        <w:t xml:space="preserve">Notes: </w:t>
      </w:r>
      <w:r w:rsidRPr="00A03EBC">
        <w:rPr>
          <w:color w:val="595A5B" w:themeColor="text1"/>
          <w:vertAlign w:val="superscript"/>
        </w:rPr>
        <w:t>a</w:t>
      </w:r>
      <w:r w:rsidRPr="001F1F3C">
        <w:rPr>
          <w:color w:val="595A5B" w:themeColor="text1"/>
        </w:rPr>
        <w:t xml:space="preserve"> </w:t>
      </w:r>
      <w:r w:rsidR="00AC1843" w:rsidRPr="001F1F3C">
        <w:rPr>
          <w:color w:val="595A5B" w:themeColor="text1"/>
        </w:rPr>
        <w:t>E</w:t>
      </w:r>
      <w:r w:rsidRPr="001F1F3C">
        <w:rPr>
          <w:color w:val="595A5B" w:themeColor="text1"/>
        </w:rPr>
        <w:t>nergy consumption in petroleum refining equals total energy consumption minu</w:t>
      </w:r>
      <w:r w:rsidR="00A03EBC">
        <w:rPr>
          <w:color w:val="595A5B" w:themeColor="text1"/>
        </w:rPr>
        <w:t>s derived fuel production</w:t>
      </w:r>
      <w:r w:rsidRPr="001F1F3C">
        <w:rPr>
          <w:color w:val="595A5B" w:themeColor="text1"/>
        </w:rPr>
        <w:t>. The derived fuel production is netted off to avoid double counting of this energy in other sectors.</w:t>
      </w:r>
    </w:p>
    <w:p w14:paraId="36AB25EA" w14:textId="405A88C2" w:rsidR="001F4600" w:rsidRPr="001F1F3C" w:rsidRDefault="001F4600" w:rsidP="00710CC3">
      <w:pPr>
        <w:pStyle w:val="Source"/>
        <w:jc w:val="left"/>
        <w:rPr>
          <w:color w:val="595A5B" w:themeColor="text1"/>
        </w:rPr>
      </w:pPr>
      <w:r w:rsidRPr="001F1F3C">
        <w:rPr>
          <w:color w:val="595A5B" w:themeColor="text1"/>
        </w:rPr>
        <w:t xml:space="preserve">Source: </w:t>
      </w:r>
      <w:r w:rsidRPr="001F1F3C">
        <w:rPr>
          <w:color w:val="595A5B" w:themeColor="text1"/>
          <w:szCs w:val="16"/>
        </w:rPr>
        <w:t xml:space="preserve">Department of </w:t>
      </w:r>
      <w:r w:rsidR="005A4AAD" w:rsidRPr="001F1F3C">
        <w:rPr>
          <w:color w:val="595A5B" w:themeColor="text1"/>
        </w:rPr>
        <w:t>the Environment and Energy</w:t>
      </w:r>
      <w:r w:rsidRPr="001F1F3C">
        <w:rPr>
          <w:color w:val="595A5B" w:themeColor="text1"/>
          <w:szCs w:val="16"/>
        </w:rPr>
        <w:t xml:space="preserve"> (</w:t>
      </w:r>
      <w:r w:rsidR="003F2CCE" w:rsidRPr="001F1F3C">
        <w:rPr>
          <w:color w:val="595A5B" w:themeColor="text1"/>
          <w:szCs w:val="16"/>
        </w:rPr>
        <w:t>2018</w:t>
      </w:r>
      <w:r w:rsidRPr="001F1F3C">
        <w:rPr>
          <w:color w:val="595A5B" w:themeColor="text1"/>
          <w:szCs w:val="16"/>
        </w:rPr>
        <w:t xml:space="preserve">) </w:t>
      </w:r>
      <w:r w:rsidRPr="001F1F3C">
        <w:rPr>
          <w:i/>
          <w:color w:val="595A5B" w:themeColor="text1"/>
        </w:rPr>
        <w:t>Australian Energy Statistics</w:t>
      </w:r>
      <w:r w:rsidR="00993493" w:rsidRPr="001F1F3C">
        <w:rPr>
          <w:color w:val="595A5B" w:themeColor="text1"/>
        </w:rPr>
        <w:t xml:space="preserve">, </w:t>
      </w:r>
      <w:r w:rsidR="00993493" w:rsidRPr="001F1F3C">
        <w:rPr>
          <w:color w:val="595A5B" w:themeColor="text1"/>
        </w:rPr>
        <w:br/>
        <w:t>Table F</w:t>
      </w:r>
    </w:p>
    <w:p w14:paraId="15A54244" w14:textId="77777777" w:rsidR="00735689" w:rsidRDefault="00A80CD6" w:rsidP="00735689">
      <w:pPr>
        <w:pStyle w:val="BodyText"/>
      </w:pPr>
      <w:bookmarkStart w:id="83" w:name="_Toc427790834"/>
      <w:bookmarkStart w:id="84" w:name="_Toc461142061"/>
      <w:r w:rsidRPr="001F1F3C">
        <w:t>Total energy consumption in the mini</w:t>
      </w:r>
      <w:r w:rsidR="006D1CB1">
        <w:t>ng sector was approximately 670 </w:t>
      </w:r>
      <w:r w:rsidR="00BB3234">
        <w:t>petajoules</w:t>
      </w:r>
      <w:r w:rsidRPr="001F1F3C">
        <w:t xml:space="preserve"> in 2016</w:t>
      </w:r>
      <w:r w:rsidR="00BB3234">
        <w:t>–</w:t>
      </w:r>
      <w:r w:rsidRPr="001F1F3C">
        <w:t xml:space="preserve">17, </w:t>
      </w:r>
      <w:r w:rsidR="00BB3234">
        <w:t>up 12</w:t>
      </w:r>
      <w:r w:rsidRPr="001F1F3C">
        <w:t xml:space="preserve"> per cent </w:t>
      </w:r>
      <w:r w:rsidR="00BB3234">
        <w:t>on the previous year (Table 2.6)</w:t>
      </w:r>
      <w:r w:rsidRPr="001F1F3C">
        <w:t xml:space="preserve">. </w:t>
      </w:r>
      <w:r w:rsidR="00BB3234" w:rsidRPr="001F1F3C">
        <w:t xml:space="preserve">Much of this was due to growth in natural gas used for liquefaction </w:t>
      </w:r>
      <w:r w:rsidR="00BB3234">
        <w:t xml:space="preserve">at </w:t>
      </w:r>
      <w:r w:rsidR="00BB3234" w:rsidRPr="001F1F3C">
        <w:t>LNG plants in Queensland and Western Australia</w:t>
      </w:r>
      <w:r w:rsidR="00F37875">
        <w:t xml:space="preserve"> (Figure 2.6)</w:t>
      </w:r>
      <w:r w:rsidR="00BB3234" w:rsidRPr="001F1F3C">
        <w:t xml:space="preserve">. </w:t>
      </w:r>
      <w:r w:rsidR="00735689">
        <w:t>In</w:t>
      </w:r>
      <w:r w:rsidR="00735689" w:rsidRPr="001F1F3C">
        <w:t xml:space="preserve"> 2016</w:t>
      </w:r>
      <w:r w:rsidR="00735689">
        <w:t>–</w:t>
      </w:r>
      <w:r w:rsidR="00735689" w:rsidRPr="001F1F3C">
        <w:t>17, own-use natural gas consumption at Australia’s L</w:t>
      </w:r>
      <w:r w:rsidR="00735689">
        <w:t>NG facilities increased to 239</w:t>
      </w:r>
      <w:r w:rsidR="00735689" w:rsidRPr="001F1F3C">
        <w:t xml:space="preserve"> </w:t>
      </w:r>
      <w:r w:rsidR="00735689">
        <w:t>petajoules</w:t>
      </w:r>
      <w:r w:rsidR="00735689" w:rsidRPr="001F1F3C">
        <w:t xml:space="preserve">, supporting growth of LNG exports from </w:t>
      </w:r>
      <w:r w:rsidR="00735689">
        <w:t>37</w:t>
      </w:r>
      <w:r w:rsidR="00735689" w:rsidRPr="001F1F3C">
        <w:t xml:space="preserve"> to 52</w:t>
      </w:r>
      <w:r w:rsidR="00735689">
        <w:t xml:space="preserve"> million tonnes. </w:t>
      </w:r>
    </w:p>
    <w:p w14:paraId="398A2FB1" w14:textId="6A318118" w:rsidR="00EA2D82" w:rsidRPr="001F1F3C" w:rsidRDefault="000678FE" w:rsidP="00082FE6">
      <w:pPr>
        <w:pStyle w:val="Caption"/>
      </w:pPr>
      <w:bookmarkStart w:id="85" w:name="_Toc522199775"/>
      <w:bookmarkStart w:id="86" w:name="_Toc522635718"/>
      <w:r>
        <w:t xml:space="preserve">Table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rsidR="00C1400E">
        <w:t>.</w:t>
      </w:r>
      <w:r w:rsidR="00941B67">
        <w:rPr>
          <w:noProof/>
        </w:rPr>
        <w:fldChar w:fldCharType="begin"/>
      </w:r>
      <w:r w:rsidR="00941B67">
        <w:rPr>
          <w:noProof/>
        </w:rPr>
        <w:instrText xml:space="preserve"> SEQ Table \* ARABIC \s 1 </w:instrText>
      </w:r>
      <w:r w:rsidR="00941B67">
        <w:rPr>
          <w:noProof/>
        </w:rPr>
        <w:fldChar w:fldCharType="separate"/>
      </w:r>
      <w:r w:rsidR="00D72ABB">
        <w:rPr>
          <w:noProof/>
        </w:rPr>
        <w:t>6</w:t>
      </w:r>
      <w:r w:rsidR="00941B67">
        <w:rPr>
          <w:noProof/>
        </w:rPr>
        <w:fldChar w:fldCharType="end"/>
      </w:r>
      <w:r>
        <w:t xml:space="preserve">: </w:t>
      </w:r>
      <w:r w:rsidR="00EA2D82" w:rsidRPr="001F1F3C">
        <w:t>Australian mining energy consumption, by subsector</w:t>
      </w:r>
      <w:bookmarkEnd w:id="85"/>
      <w:bookmarkEnd w:id="86"/>
    </w:p>
    <w:tbl>
      <w:tblPr>
        <w:tblW w:w="6946" w:type="dxa"/>
        <w:tblLook w:val="04A0" w:firstRow="1" w:lastRow="0" w:firstColumn="1" w:lastColumn="0" w:noHBand="0" w:noVBand="1"/>
      </w:tblPr>
      <w:tblGrid>
        <w:gridCol w:w="1276"/>
        <w:gridCol w:w="1134"/>
        <w:gridCol w:w="1418"/>
        <w:gridCol w:w="359"/>
        <w:gridCol w:w="1200"/>
        <w:gridCol w:w="1559"/>
      </w:tblGrid>
      <w:tr w:rsidR="00EA2D82" w:rsidRPr="001F1F3C" w14:paraId="073228D1" w14:textId="77777777" w:rsidTr="00F70F3E">
        <w:trPr>
          <w:trHeight w:val="300"/>
        </w:trPr>
        <w:tc>
          <w:tcPr>
            <w:tcW w:w="1276" w:type="dxa"/>
            <w:tcBorders>
              <w:top w:val="nil"/>
              <w:left w:val="nil"/>
              <w:bottom w:val="nil"/>
              <w:right w:val="nil"/>
            </w:tcBorders>
            <w:shd w:val="clear" w:color="000000" w:fill="22789A"/>
            <w:noWrap/>
            <w:vAlign w:val="bottom"/>
            <w:hideMark/>
          </w:tcPr>
          <w:p w14:paraId="0554782A" w14:textId="77777777" w:rsidR="00EA2D82" w:rsidRPr="001F1F3C" w:rsidRDefault="00EA2D82" w:rsidP="00F70F3E">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552" w:type="dxa"/>
            <w:gridSpan w:val="2"/>
            <w:tcBorders>
              <w:top w:val="nil"/>
              <w:left w:val="nil"/>
              <w:bottom w:val="nil"/>
              <w:right w:val="nil"/>
            </w:tcBorders>
            <w:shd w:val="clear" w:color="000000" w:fill="22789A"/>
            <w:noWrap/>
            <w:vAlign w:val="center"/>
            <w:hideMark/>
          </w:tcPr>
          <w:p w14:paraId="14929517" w14:textId="77777777" w:rsidR="00EA2D82" w:rsidRPr="001F1F3C" w:rsidRDefault="00EA2D82" w:rsidP="00F70F3E">
            <w:pPr>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2016–17</w:t>
            </w:r>
          </w:p>
        </w:tc>
        <w:tc>
          <w:tcPr>
            <w:tcW w:w="359" w:type="dxa"/>
            <w:tcBorders>
              <w:top w:val="nil"/>
              <w:left w:val="nil"/>
              <w:bottom w:val="nil"/>
              <w:right w:val="nil"/>
            </w:tcBorders>
            <w:shd w:val="clear" w:color="000000" w:fill="22789A"/>
            <w:noWrap/>
            <w:vAlign w:val="bottom"/>
            <w:hideMark/>
          </w:tcPr>
          <w:p w14:paraId="566E3ED0" w14:textId="77777777" w:rsidR="00EA2D82" w:rsidRPr="001F1F3C" w:rsidRDefault="00EA2D82" w:rsidP="00F70F3E">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759" w:type="dxa"/>
            <w:gridSpan w:val="2"/>
            <w:tcBorders>
              <w:top w:val="nil"/>
              <w:left w:val="nil"/>
              <w:bottom w:val="nil"/>
              <w:right w:val="nil"/>
            </w:tcBorders>
            <w:shd w:val="clear" w:color="000000" w:fill="22789A"/>
            <w:noWrap/>
            <w:vAlign w:val="center"/>
            <w:hideMark/>
          </w:tcPr>
          <w:p w14:paraId="5E6C98E3" w14:textId="77777777" w:rsidR="00EA2D82" w:rsidRPr="001F1F3C" w:rsidRDefault="00EA2D82" w:rsidP="00F70F3E">
            <w:pPr>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Average annual growth</w:t>
            </w:r>
          </w:p>
        </w:tc>
      </w:tr>
      <w:tr w:rsidR="00EA2D82" w:rsidRPr="001F1F3C" w14:paraId="770DEBCF" w14:textId="77777777" w:rsidTr="00F70F3E">
        <w:trPr>
          <w:trHeight w:val="300"/>
        </w:trPr>
        <w:tc>
          <w:tcPr>
            <w:tcW w:w="1276" w:type="dxa"/>
            <w:vMerge w:val="restart"/>
            <w:tcBorders>
              <w:top w:val="nil"/>
              <w:left w:val="nil"/>
              <w:bottom w:val="nil"/>
              <w:right w:val="nil"/>
            </w:tcBorders>
            <w:shd w:val="clear" w:color="000000" w:fill="CAE7F3"/>
            <w:noWrap/>
            <w:vAlign w:val="bottom"/>
            <w:hideMark/>
          </w:tcPr>
          <w:p w14:paraId="2A548011" w14:textId="77777777" w:rsidR="00EA2D82" w:rsidRPr="001F1F3C" w:rsidRDefault="00EA2D82" w:rsidP="00F70F3E">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1134" w:type="dxa"/>
            <w:vMerge w:val="restart"/>
            <w:tcBorders>
              <w:top w:val="nil"/>
              <w:left w:val="nil"/>
              <w:bottom w:val="nil"/>
              <w:right w:val="nil"/>
            </w:tcBorders>
            <w:shd w:val="clear" w:color="000000" w:fill="CAE7F3"/>
            <w:noWrap/>
            <w:vAlign w:val="center"/>
            <w:hideMark/>
          </w:tcPr>
          <w:p w14:paraId="06C1D11D" w14:textId="77777777" w:rsidR="00EA2D82" w:rsidRPr="001F1F3C" w:rsidRDefault="00EA2D82" w:rsidP="00F70F3E">
            <w:pPr>
              <w:spacing w:after="0" w:line="360" w:lineRule="auto"/>
              <w:ind w:left="0"/>
              <w:jc w:val="right"/>
              <w:rPr>
                <w:rFonts w:eastAsia="Times New Roman" w:cs="Arial"/>
                <w:sz w:val="18"/>
                <w:szCs w:val="18"/>
                <w:lang w:eastAsia="en-AU"/>
              </w:rPr>
            </w:pPr>
            <w:r w:rsidRPr="001F1F3C">
              <w:rPr>
                <w:rFonts w:eastAsia="Times New Roman" w:cs="Arial"/>
                <w:color w:val="595A5B" w:themeColor="text2"/>
                <w:sz w:val="18"/>
                <w:szCs w:val="18"/>
                <w:lang w:eastAsia="en-AU"/>
              </w:rPr>
              <w:t>PJ</w:t>
            </w:r>
          </w:p>
        </w:tc>
        <w:tc>
          <w:tcPr>
            <w:tcW w:w="1418" w:type="dxa"/>
            <w:tcBorders>
              <w:top w:val="nil"/>
              <w:left w:val="nil"/>
              <w:bottom w:val="nil"/>
              <w:right w:val="nil"/>
            </w:tcBorders>
            <w:shd w:val="clear" w:color="000000" w:fill="CAE7F3"/>
            <w:noWrap/>
            <w:vAlign w:val="center"/>
            <w:hideMark/>
          </w:tcPr>
          <w:p w14:paraId="547FFD35" w14:textId="77777777" w:rsidR="00EA2D82" w:rsidRPr="001F1F3C" w:rsidRDefault="00EA2D82" w:rsidP="00F70F3E">
            <w:pPr>
              <w:spacing w:after="0" w:line="360" w:lineRule="auto"/>
              <w:ind w:left="0"/>
              <w:jc w:val="right"/>
              <w:rPr>
                <w:rFonts w:eastAsia="Times New Roman" w:cs="Arial"/>
                <w:sz w:val="18"/>
                <w:szCs w:val="18"/>
                <w:lang w:eastAsia="en-AU"/>
              </w:rPr>
            </w:pPr>
            <w:r w:rsidRPr="001F1F3C">
              <w:rPr>
                <w:rFonts w:eastAsia="Times New Roman" w:cs="Arial"/>
                <w:color w:val="595A5B" w:themeColor="text2"/>
                <w:sz w:val="18"/>
                <w:szCs w:val="18"/>
                <w:lang w:eastAsia="en-AU"/>
              </w:rPr>
              <w:t>share</w:t>
            </w:r>
          </w:p>
        </w:tc>
        <w:tc>
          <w:tcPr>
            <w:tcW w:w="359" w:type="dxa"/>
            <w:vMerge w:val="restart"/>
            <w:tcBorders>
              <w:top w:val="nil"/>
              <w:left w:val="nil"/>
              <w:bottom w:val="nil"/>
              <w:right w:val="nil"/>
            </w:tcBorders>
            <w:shd w:val="clear" w:color="000000" w:fill="CAE7F3"/>
            <w:noWrap/>
            <w:vAlign w:val="bottom"/>
            <w:hideMark/>
          </w:tcPr>
          <w:p w14:paraId="4D21B285" w14:textId="77777777" w:rsidR="00EA2D82" w:rsidRPr="001F1F3C" w:rsidRDefault="00EA2D82" w:rsidP="00F70F3E">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1200" w:type="dxa"/>
            <w:tcBorders>
              <w:top w:val="nil"/>
              <w:left w:val="nil"/>
              <w:bottom w:val="nil"/>
              <w:right w:val="nil"/>
            </w:tcBorders>
            <w:shd w:val="clear" w:color="000000" w:fill="CAE7F3"/>
            <w:noWrap/>
            <w:vAlign w:val="center"/>
            <w:hideMark/>
          </w:tcPr>
          <w:p w14:paraId="20CA711C" w14:textId="77777777" w:rsidR="00EA2D82" w:rsidRPr="001F1F3C" w:rsidRDefault="00EA2D82" w:rsidP="00F70F3E">
            <w:pPr>
              <w:spacing w:after="0" w:line="360" w:lineRule="auto"/>
              <w:ind w:left="0"/>
              <w:jc w:val="right"/>
              <w:rPr>
                <w:rFonts w:eastAsia="Times New Roman" w:cs="Arial"/>
                <w:sz w:val="18"/>
                <w:szCs w:val="18"/>
                <w:lang w:eastAsia="en-AU"/>
              </w:rPr>
            </w:pPr>
            <w:r w:rsidRPr="001F1F3C">
              <w:rPr>
                <w:rFonts w:eastAsia="Times New Roman" w:cs="Arial"/>
                <w:color w:val="595A5B" w:themeColor="text2"/>
                <w:sz w:val="18"/>
                <w:szCs w:val="18"/>
                <w:lang w:eastAsia="en-AU"/>
              </w:rPr>
              <w:t>2016–17</w:t>
            </w:r>
          </w:p>
        </w:tc>
        <w:tc>
          <w:tcPr>
            <w:tcW w:w="1559" w:type="dxa"/>
            <w:tcBorders>
              <w:top w:val="nil"/>
              <w:left w:val="nil"/>
              <w:bottom w:val="nil"/>
              <w:right w:val="nil"/>
            </w:tcBorders>
            <w:shd w:val="clear" w:color="000000" w:fill="CAE7F3"/>
            <w:noWrap/>
            <w:vAlign w:val="center"/>
            <w:hideMark/>
          </w:tcPr>
          <w:p w14:paraId="1161FC04" w14:textId="77777777" w:rsidR="00EA2D82" w:rsidRPr="001F1F3C" w:rsidRDefault="00EA2D82" w:rsidP="00F70F3E">
            <w:pPr>
              <w:spacing w:after="0" w:line="360" w:lineRule="auto"/>
              <w:ind w:left="0"/>
              <w:jc w:val="right"/>
              <w:rPr>
                <w:rFonts w:eastAsia="Times New Roman" w:cs="Arial"/>
                <w:sz w:val="18"/>
                <w:szCs w:val="18"/>
                <w:lang w:eastAsia="en-AU"/>
              </w:rPr>
            </w:pPr>
            <w:r w:rsidRPr="001F1F3C">
              <w:rPr>
                <w:rFonts w:eastAsia="Times New Roman" w:cs="Arial"/>
                <w:color w:val="595A5B" w:themeColor="text2"/>
                <w:sz w:val="18"/>
                <w:szCs w:val="18"/>
                <w:lang w:eastAsia="en-AU"/>
              </w:rPr>
              <w:t>10 years</w:t>
            </w:r>
          </w:p>
        </w:tc>
      </w:tr>
      <w:tr w:rsidR="00EA2D82" w:rsidRPr="001F1F3C" w14:paraId="73E000BB" w14:textId="77777777" w:rsidTr="00F70F3E">
        <w:trPr>
          <w:trHeight w:val="300"/>
        </w:trPr>
        <w:tc>
          <w:tcPr>
            <w:tcW w:w="1276" w:type="dxa"/>
            <w:vMerge/>
            <w:tcBorders>
              <w:top w:val="nil"/>
              <w:left w:val="nil"/>
              <w:bottom w:val="nil"/>
              <w:right w:val="nil"/>
            </w:tcBorders>
            <w:vAlign w:val="center"/>
            <w:hideMark/>
          </w:tcPr>
          <w:p w14:paraId="6C1C538A" w14:textId="77777777" w:rsidR="00EA2D82" w:rsidRPr="001F1F3C" w:rsidRDefault="00EA2D82" w:rsidP="00F70F3E">
            <w:pPr>
              <w:spacing w:after="0" w:line="360" w:lineRule="auto"/>
              <w:ind w:left="0"/>
              <w:jc w:val="left"/>
              <w:rPr>
                <w:rFonts w:eastAsia="Times New Roman" w:cs="Arial"/>
                <w:color w:val="000000"/>
                <w:sz w:val="22"/>
                <w:lang w:eastAsia="en-AU"/>
              </w:rPr>
            </w:pPr>
          </w:p>
        </w:tc>
        <w:tc>
          <w:tcPr>
            <w:tcW w:w="1134" w:type="dxa"/>
            <w:vMerge/>
            <w:tcBorders>
              <w:top w:val="nil"/>
              <w:left w:val="nil"/>
              <w:bottom w:val="nil"/>
              <w:right w:val="nil"/>
            </w:tcBorders>
            <w:vAlign w:val="center"/>
            <w:hideMark/>
          </w:tcPr>
          <w:p w14:paraId="15BDD257" w14:textId="77777777" w:rsidR="00EA2D82" w:rsidRPr="001F1F3C" w:rsidRDefault="00EA2D82" w:rsidP="00F70F3E">
            <w:pPr>
              <w:spacing w:after="0" w:line="360" w:lineRule="auto"/>
              <w:ind w:left="0"/>
              <w:jc w:val="left"/>
              <w:rPr>
                <w:rFonts w:eastAsia="Times New Roman" w:cs="Arial"/>
                <w:sz w:val="18"/>
                <w:szCs w:val="18"/>
                <w:lang w:eastAsia="en-AU"/>
              </w:rPr>
            </w:pPr>
          </w:p>
        </w:tc>
        <w:tc>
          <w:tcPr>
            <w:tcW w:w="1418" w:type="dxa"/>
            <w:tcBorders>
              <w:top w:val="nil"/>
              <w:left w:val="nil"/>
              <w:bottom w:val="nil"/>
              <w:right w:val="nil"/>
            </w:tcBorders>
            <w:shd w:val="clear" w:color="000000" w:fill="CAE7F3"/>
            <w:noWrap/>
            <w:vAlign w:val="center"/>
            <w:hideMark/>
          </w:tcPr>
          <w:p w14:paraId="2E3B1B2A" w14:textId="77777777" w:rsidR="00EA2D82" w:rsidRPr="001F1F3C" w:rsidRDefault="00EA2D82" w:rsidP="00F70F3E">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c>
          <w:tcPr>
            <w:tcW w:w="359" w:type="dxa"/>
            <w:vMerge/>
            <w:tcBorders>
              <w:top w:val="nil"/>
              <w:left w:val="nil"/>
              <w:bottom w:val="nil"/>
              <w:right w:val="nil"/>
            </w:tcBorders>
            <w:vAlign w:val="center"/>
            <w:hideMark/>
          </w:tcPr>
          <w:p w14:paraId="2C8DDFA5" w14:textId="77777777" w:rsidR="00EA2D82" w:rsidRPr="001F1F3C" w:rsidRDefault="00EA2D82" w:rsidP="00F70F3E">
            <w:pPr>
              <w:spacing w:after="0" w:line="360" w:lineRule="auto"/>
              <w:ind w:left="0"/>
              <w:jc w:val="left"/>
              <w:rPr>
                <w:rFonts w:eastAsia="Times New Roman" w:cs="Arial"/>
                <w:color w:val="000000"/>
                <w:sz w:val="22"/>
                <w:lang w:eastAsia="en-AU"/>
              </w:rPr>
            </w:pPr>
          </w:p>
        </w:tc>
        <w:tc>
          <w:tcPr>
            <w:tcW w:w="1200" w:type="dxa"/>
            <w:tcBorders>
              <w:top w:val="nil"/>
              <w:left w:val="nil"/>
              <w:bottom w:val="nil"/>
              <w:right w:val="nil"/>
            </w:tcBorders>
            <w:shd w:val="clear" w:color="000000" w:fill="CAE7F3"/>
            <w:noWrap/>
            <w:vAlign w:val="center"/>
            <w:hideMark/>
          </w:tcPr>
          <w:p w14:paraId="59C9780F" w14:textId="77777777" w:rsidR="00EA2D82" w:rsidRPr="001F1F3C" w:rsidRDefault="00EA2D82" w:rsidP="00F70F3E">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c>
          <w:tcPr>
            <w:tcW w:w="1559" w:type="dxa"/>
            <w:tcBorders>
              <w:top w:val="nil"/>
              <w:left w:val="nil"/>
              <w:bottom w:val="nil"/>
              <w:right w:val="nil"/>
            </w:tcBorders>
            <w:shd w:val="clear" w:color="000000" w:fill="CAE7F3"/>
            <w:noWrap/>
            <w:vAlign w:val="center"/>
            <w:hideMark/>
          </w:tcPr>
          <w:p w14:paraId="210FBD5B" w14:textId="77777777" w:rsidR="00EA2D82" w:rsidRPr="001F1F3C" w:rsidRDefault="00EA2D82" w:rsidP="00F70F3E">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r>
      <w:tr w:rsidR="00EA2D82" w:rsidRPr="001F1F3C" w14:paraId="79139698" w14:textId="77777777" w:rsidTr="00F70F3E">
        <w:trPr>
          <w:trHeight w:val="300"/>
        </w:trPr>
        <w:tc>
          <w:tcPr>
            <w:tcW w:w="1276" w:type="dxa"/>
            <w:tcBorders>
              <w:top w:val="nil"/>
              <w:left w:val="nil"/>
              <w:bottom w:val="nil"/>
              <w:right w:val="nil"/>
            </w:tcBorders>
            <w:shd w:val="clear" w:color="000000" w:fill="CAE7F3"/>
            <w:noWrap/>
            <w:hideMark/>
          </w:tcPr>
          <w:p w14:paraId="7388FA5F" w14:textId="77777777" w:rsidR="00EA2D82" w:rsidRPr="00060581" w:rsidRDefault="00EA2D82" w:rsidP="00F70F3E">
            <w:pPr>
              <w:spacing w:after="0" w:line="360" w:lineRule="auto"/>
              <w:ind w:left="0"/>
              <w:jc w:val="left"/>
              <w:rPr>
                <w:rFonts w:eastAsia="Times New Roman" w:cs="Arial"/>
                <w:sz w:val="18"/>
                <w:szCs w:val="18"/>
                <w:lang w:eastAsia="en-AU"/>
              </w:rPr>
            </w:pPr>
            <w:r w:rsidRPr="00CB4EBE">
              <w:rPr>
                <w:sz w:val="18"/>
                <w:szCs w:val="18"/>
              </w:rPr>
              <w:t>Oil and gas</w:t>
            </w:r>
          </w:p>
        </w:tc>
        <w:tc>
          <w:tcPr>
            <w:tcW w:w="1134" w:type="dxa"/>
            <w:tcBorders>
              <w:top w:val="nil"/>
              <w:left w:val="nil"/>
              <w:bottom w:val="nil"/>
              <w:right w:val="nil"/>
            </w:tcBorders>
            <w:shd w:val="clear" w:color="000000" w:fill="CAE7F3"/>
            <w:noWrap/>
            <w:hideMark/>
          </w:tcPr>
          <w:p w14:paraId="68F9F2D7" w14:textId="77777777" w:rsidR="00EA2D82" w:rsidRPr="00060581" w:rsidRDefault="00EA2D82" w:rsidP="00F70F3E">
            <w:pPr>
              <w:spacing w:after="0" w:line="360" w:lineRule="auto"/>
              <w:ind w:left="0"/>
              <w:jc w:val="right"/>
              <w:rPr>
                <w:rFonts w:eastAsia="Times New Roman" w:cs="Arial"/>
                <w:sz w:val="18"/>
                <w:szCs w:val="18"/>
                <w:lang w:eastAsia="en-AU"/>
              </w:rPr>
            </w:pPr>
            <w:r w:rsidRPr="00CB4EBE">
              <w:rPr>
                <w:sz w:val="18"/>
                <w:szCs w:val="18"/>
              </w:rPr>
              <w:t>346.6</w:t>
            </w:r>
          </w:p>
        </w:tc>
        <w:tc>
          <w:tcPr>
            <w:tcW w:w="1418" w:type="dxa"/>
            <w:tcBorders>
              <w:top w:val="nil"/>
              <w:left w:val="nil"/>
              <w:bottom w:val="nil"/>
              <w:right w:val="nil"/>
            </w:tcBorders>
            <w:shd w:val="clear" w:color="000000" w:fill="CAE7F3"/>
            <w:noWrap/>
            <w:hideMark/>
          </w:tcPr>
          <w:p w14:paraId="57E60456" w14:textId="77777777" w:rsidR="00EA2D82" w:rsidRPr="00060581" w:rsidRDefault="00EA2D82" w:rsidP="00F70F3E">
            <w:pPr>
              <w:spacing w:after="0" w:line="360" w:lineRule="auto"/>
              <w:ind w:left="0"/>
              <w:jc w:val="right"/>
              <w:rPr>
                <w:rFonts w:eastAsia="Times New Roman" w:cs="Arial"/>
                <w:sz w:val="18"/>
                <w:szCs w:val="18"/>
                <w:lang w:eastAsia="en-AU"/>
              </w:rPr>
            </w:pPr>
            <w:r w:rsidRPr="00CB4EBE">
              <w:rPr>
                <w:sz w:val="18"/>
                <w:szCs w:val="18"/>
              </w:rPr>
              <w:t>51.8</w:t>
            </w:r>
          </w:p>
        </w:tc>
        <w:tc>
          <w:tcPr>
            <w:tcW w:w="359" w:type="dxa"/>
            <w:tcBorders>
              <w:top w:val="nil"/>
              <w:left w:val="nil"/>
              <w:bottom w:val="nil"/>
              <w:right w:val="nil"/>
            </w:tcBorders>
            <w:shd w:val="clear" w:color="000000" w:fill="CAE7F3"/>
            <w:noWrap/>
            <w:hideMark/>
          </w:tcPr>
          <w:p w14:paraId="2E41361A" w14:textId="77777777" w:rsidR="00EA2D82" w:rsidRPr="00060581" w:rsidRDefault="00EA2D82" w:rsidP="00F70F3E">
            <w:pPr>
              <w:spacing w:after="0" w:line="360" w:lineRule="auto"/>
              <w:ind w:left="0"/>
              <w:jc w:val="left"/>
              <w:rPr>
                <w:rFonts w:eastAsia="Times New Roman" w:cs="Arial"/>
                <w:sz w:val="18"/>
                <w:szCs w:val="18"/>
                <w:lang w:eastAsia="en-AU"/>
              </w:rPr>
            </w:pPr>
          </w:p>
        </w:tc>
        <w:tc>
          <w:tcPr>
            <w:tcW w:w="1200" w:type="dxa"/>
            <w:tcBorders>
              <w:top w:val="nil"/>
              <w:left w:val="nil"/>
              <w:bottom w:val="nil"/>
              <w:right w:val="nil"/>
            </w:tcBorders>
            <w:shd w:val="clear" w:color="000000" w:fill="CAE7F3"/>
            <w:noWrap/>
            <w:hideMark/>
          </w:tcPr>
          <w:p w14:paraId="16C55BA4" w14:textId="77777777" w:rsidR="00EA2D82" w:rsidRPr="00060581" w:rsidRDefault="00EA2D82" w:rsidP="00F70F3E">
            <w:pPr>
              <w:spacing w:after="0" w:line="360" w:lineRule="auto"/>
              <w:ind w:left="0"/>
              <w:jc w:val="right"/>
              <w:rPr>
                <w:rFonts w:eastAsia="Times New Roman" w:cs="Arial"/>
                <w:sz w:val="18"/>
                <w:szCs w:val="18"/>
                <w:lang w:eastAsia="en-AU"/>
              </w:rPr>
            </w:pPr>
            <w:r w:rsidRPr="00CB4EBE">
              <w:rPr>
                <w:sz w:val="18"/>
                <w:szCs w:val="18"/>
              </w:rPr>
              <w:t>18.4</w:t>
            </w:r>
          </w:p>
        </w:tc>
        <w:tc>
          <w:tcPr>
            <w:tcW w:w="1559" w:type="dxa"/>
            <w:tcBorders>
              <w:top w:val="nil"/>
              <w:left w:val="nil"/>
              <w:bottom w:val="nil"/>
              <w:right w:val="nil"/>
            </w:tcBorders>
            <w:shd w:val="clear" w:color="000000" w:fill="CAE7F3"/>
            <w:noWrap/>
            <w:hideMark/>
          </w:tcPr>
          <w:p w14:paraId="2C594E0A" w14:textId="77777777" w:rsidR="00EA2D82" w:rsidRPr="00060581" w:rsidRDefault="00EA2D82" w:rsidP="00F70F3E">
            <w:pPr>
              <w:spacing w:after="0" w:line="360" w:lineRule="auto"/>
              <w:ind w:left="0"/>
              <w:jc w:val="right"/>
              <w:rPr>
                <w:rFonts w:eastAsia="Times New Roman" w:cs="Arial"/>
                <w:sz w:val="18"/>
                <w:szCs w:val="18"/>
                <w:lang w:eastAsia="en-AU"/>
              </w:rPr>
            </w:pPr>
            <w:r w:rsidRPr="00CB4EBE">
              <w:rPr>
                <w:sz w:val="18"/>
                <w:szCs w:val="18"/>
              </w:rPr>
              <w:t>8.6</w:t>
            </w:r>
          </w:p>
        </w:tc>
      </w:tr>
      <w:tr w:rsidR="00EA2D82" w:rsidRPr="001F1F3C" w14:paraId="384D040B" w14:textId="77777777" w:rsidTr="00F70F3E">
        <w:trPr>
          <w:trHeight w:val="300"/>
        </w:trPr>
        <w:tc>
          <w:tcPr>
            <w:tcW w:w="1276" w:type="dxa"/>
            <w:tcBorders>
              <w:top w:val="nil"/>
              <w:left w:val="nil"/>
              <w:bottom w:val="nil"/>
              <w:right w:val="nil"/>
            </w:tcBorders>
            <w:shd w:val="clear" w:color="000000" w:fill="CAE7F3"/>
            <w:noWrap/>
            <w:hideMark/>
          </w:tcPr>
          <w:p w14:paraId="7F853190" w14:textId="77777777" w:rsidR="00EA2D82" w:rsidRPr="00060581" w:rsidRDefault="00EA2D82" w:rsidP="00F70F3E">
            <w:pPr>
              <w:spacing w:after="0" w:line="360" w:lineRule="auto"/>
              <w:ind w:left="0"/>
              <w:jc w:val="left"/>
              <w:rPr>
                <w:rFonts w:eastAsia="Times New Roman" w:cs="Arial"/>
                <w:sz w:val="18"/>
                <w:szCs w:val="18"/>
                <w:lang w:eastAsia="en-AU"/>
              </w:rPr>
            </w:pPr>
            <w:r w:rsidRPr="00CB4EBE">
              <w:rPr>
                <w:sz w:val="18"/>
                <w:szCs w:val="18"/>
              </w:rPr>
              <w:t xml:space="preserve">     - LNG</w:t>
            </w:r>
          </w:p>
        </w:tc>
        <w:tc>
          <w:tcPr>
            <w:tcW w:w="1134" w:type="dxa"/>
            <w:tcBorders>
              <w:top w:val="nil"/>
              <w:left w:val="nil"/>
              <w:bottom w:val="nil"/>
              <w:right w:val="nil"/>
            </w:tcBorders>
            <w:shd w:val="clear" w:color="000000" w:fill="CAE7F3"/>
            <w:noWrap/>
            <w:hideMark/>
          </w:tcPr>
          <w:p w14:paraId="33CB5454" w14:textId="77777777" w:rsidR="00EA2D82" w:rsidRPr="00060581" w:rsidRDefault="00EA2D82" w:rsidP="00F70F3E">
            <w:pPr>
              <w:spacing w:after="0" w:line="360" w:lineRule="auto"/>
              <w:ind w:left="0"/>
              <w:jc w:val="right"/>
              <w:rPr>
                <w:rFonts w:eastAsia="Times New Roman" w:cs="Arial"/>
                <w:sz w:val="18"/>
                <w:szCs w:val="18"/>
                <w:lang w:eastAsia="en-AU"/>
              </w:rPr>
            </w:pPr>
            <w:r w:rsidRPr="00CB4EBE">
              <w:rPr>
                <w:sz w:val="18"/>
                <w:szCs w:val="18"/>
              </w:rPr>
              <w:t>253.5</w:t>
            </w:r>
          </w:p>
        </w:tc>
        <w:tc>
          <w:tcPr>
            <w:tcW w:w="1418" w:type="dxa"/>
            <w:tcBorders>
              <w:top w:val="nil"/>
              <w:left w:val="nil"/>
              <w:bottom w:val="nil"/>
              <w:right w:val="nil"/>
            </w:tcBorders>
            <w:shd w:val="clear" w:color="000000" w:fill="CAE7F3"/>
            <w:noWrap/>
            <w:hideMark/>
          </w:tcPr>
          <w:p w14:paraId="1A6EED77" w14:textId="77777777" w:rsidR="00EA2D82" w:rsidRPr="00060581" w:rsidRDefault="00EA2D82" w:rsidP="00F70F3E">
            <w:pPr>
              <w:spacing w:after="0" w:line="360" w:lineRule="auto"/>
              <w:ind w:left="0"/>
              <w:jc w:val="right"/>
              <w:rPr>
                <w:rFonts w:eastAsia="Times New Roman" w:cs="Arial"/>
                <w:sz w:val="18"/>
                <w:szCs w:val="18"/>
                <w:lang w:eastAsia="en-AU"/>
              </w:rPr>
            </w:pPr>
            <w:r w:rsidRPr="00CB4EBE">
              <w:rPr>
                <w:sz w:val="18"/>
                <w:szCs w:val="18"/>
              </w:rPr>
              <w:t>37.9</w:t>
            </w:r>
          </w:p>
        </w:tc>
        <w:tc>
          <w:tcPr>
            <w:tcW w:w="359" w:type="dxa"/>
            <w:tcBorders>
              <w:top w:val="nil"/>
              <w:left w:val="nil"/>
              <w:bottom w:val="nil"/>
              <w:right w:val="nil"/>
            </w:tcBorders>
            <w:shd w:val="clear" w:color="000000" w:fill="CAE7F3"/>
            <w:noWrap/>
          </w:tcPr>
          <w:p w14:paraId="2C98A4A1" w14:textId="77777777" w:rsidR="00EA2D82" w:rsidRPr="00060581" w:rsidRDefault="00EA2D82" w:rsidP="00F70F3E">
            <w:pPr>
              <w:spacing w:after="0" w:line="360" w:lineRule="auto"/>
              <w:ind w:left="0"/>
              <w:jc w:val="left"/>
              <w:rPr>
                <w:rFonts w:eastAsia="Times New Roman" w:cs="Arial"/>
                <w:sz w:val="18"/>
                <w:szCs w:val="18"/>
                <w:lang w:eastAsia="en-AU"/>
              </w:rPr>
            </w:pPr>
          </w:p>
        </w:tc>
        <w:tc>
          <w:tcPr>
            <w:tcW w:w="1200" w:type="dxa"/>
            <w:tcBorders>
              <w:top w:val="nil"/>
              <w:left w:val="nil"/>
              <w:bottom w:val="nil"/>
              <w:right w:val="nil"/>
            </w:tcBorders>
            <w:shd w:val="clear" w:color="000000" w:fill="CAE7F3"/>
            <w:noWrap/>
            <w:hideMark/>
          </w:tcPr>
          <w:p w14:paraId="76F08961" w14:textId="77777777" w:rsidR="00EA2D82" w:rsidRPr="00060581" w:rsidRDefault="00EA2D82" w:rsidP="00F70F3E">
            <w:pPr>
              <w:spacing w:after="0" w:line="360" w:lineRule="auto"/>
              <w:ind w:left="0"/>
              <w:jc w:val="right"/>
              <w:rPr>
                <w:rFonts w:eastAsia="Times New Roman" w:cs="Arial"/>
                <w:sz w:val="18"/>
                <w:szCs w:val="18"/>
                <w:lang w:eastAsia="en-AU"/>
              </w:rPr>
            </w:pPr>
            <w:r w:rsidRPr="00CB4EBE">
              <w:rPr>
                <w:sz w:val="18"/>
                <w:szCs w:val="18"/>
              </w:rPr>
              <w:t>29.2</w:t>
            </w:r>
          </w:p>
        </w:tc>
        <w:tc>
          <w:tcPr>
            <w:tcW w:w="1559" w:type="dxa"/>
            <w:tcBorders>
              <w:top w:val="nil"/>
              <w:left w:val="nil"/>
              <w:bottom w:val="nil"/>
              <w:right w:val="nil"/>
            </w:tcBorders>
            <w:shd w:val="clear" w:color="000000" w:fill="CAE7F3"/>
            <w:noWrap/>
            <w:hideMark/>
          </w:tcPr>
          <w:p w14:paraId="04D346BA" w14:textId="77777777" w:rsidR="00EA2D82" w:rsidRPr="00060581" w:rsidRDefault="00EA2D82" w:rsidP="00F70F3E">
            <w:pPr>
              <w:spacing w:after="0" w:line="360" w:lineRule="auto"/>
              <w:ind w:left="0"/>
              <w:jc w:val="right"/>
              <w:rPr>
                <w:rFonts w:eastAsia="Times New Roman" w:cs="Arial"/>
                <w:sz w:val="18"/>
                <w:szCs w:val="18"/>
                <w:lang w:eastAsia="en-AU"/>
              </w:rPr>
            </w:pPr>
            <w:r w:rsidRPr="00CB4EBE">
              <w:rPr>
                <w:sz w:val="18"/>
                <w:szCs w:val="18"/>
              </w:rPr>
              <w:t>11.9</w:t>
            </w:r>
          </w:p>
        </w:tc>
      </w:tr>
      <w:tr w:rsidR="00EA2D82" w:rsidRPr="001F1F3C" w14:paraId="6EA7D3AE" w14:textId="77777777" w:rsidTr="00F70F3E">
        <w:trPr>
          <w:trHeight w:val="300"/>
        </w:trPr>
        <w:tc>
          <w:tcPr>
            <w:tcW w:w="1276" w:type="dxa"/>
            <w:tcBorders>
              <w:top w:val="nil"/>
              <w:left w:val="nil"/>
              <w:bottom w:val="nil"/>
              <w:right w:val="nil"/>
            </w:tcBorders>
            <w:shd w:val="clear" w:color="000000" w:fill="CAE7F3"/>
            <w:noWrap/>
            <w:hideMark/>
          </w:tcPr>
          <w:p w14:paraId="7DA0F5DB" w14:textId="77777777" w:rsidR="00EA2D82" w:rsidRPr="00060581" w:rsidRDefault="00EA2D82" w:rsidP="00F70F3E">
            <w:pPr>
              <w:spacing w:after="0" w:line="360" w:lineRule="auto"/>
              <w:ind w:left="0"/>
              <w:jc w:val="left"/>
              <w:rPr>
                <w:rFonts w:eastAsia="Times New Roman" w:cs="Arial"/>
                <w:sz w:val="18"/>
                <w:szCs w:val="18"/>
                <w:lang w:eastAsia="en-AU"/>
              </w:rPr>
            </w:pPr>
            <w:r w:rsidRPr="00CB4EBE">
              <w:rPr>
                <w:sz w:val="18"/>
                <w:szCs w:val="18"/>
              </w:rPr>
              <w:t>Coal</w:t>
            </w:r>
          </w:p>
        </w:tc>
        <w:tc>
          <w:tcPr>
            <w:tcW w:w="1134" w:type="dxa"/>
            <w:tcBorders>
              <w:top w:val="nil"/>
              <w:left w:val="nil"/>
              <w:bottom w:val="nil"/>
              <w:right w:val="nil"/>
            </w:tcBorders>
            <w:shd w:val="clear" w:color="000000" w:fill="CAE7F3"/>
            <w:noWrap/>
            <w:hideMark/>
          </w:tcPr>
          <w:p w14:paraId="2304C6ED" w14:textId="77777777" w:rsidR="00EA2D82" w:rsidRPr="00060581" w:rsidRDefault="00EA2D82" w:rsidP="00F70F3E">
            <w:pPr>
              <w:spacing w:after="0" w:line="360" w:lineRule="auto"/>
              <w:ind w:left="0"/>
              <w:jc w:val="right"/>
              <w:rPr>
                <w:rFonts w:eastAsia="Times New Roman" w:cs="Arial"/>
                <w:sz w:val="18"/>
                <w:szCs w:val="18"/>
                <w:lang w:eastAsia="en-AU"/>
              </w:rPr>
            </w:pPr>
            <w:r w:rsidRPr="00CB4EBE">
              <w:rPr>
                <w:sz w:val="18"/>
                <w:szCs w:val="18"/>
              </w:rPr>
              <w:t>136.0</w:t>
            </w:r>
          </w:p>
        </w:tc>
        <w:tc>
          <w:tcPr>
            <w:tcW w:w="1418" w:type="dxa"/>
            <w:tcBorders>
              <w:top w:val="nil"/>
              <w:left w:val="nil"/>
              <w:bottom w:val="nil"/>
              <w:right w:val="nil"/>
            </w:tcBorders>
            <w:shd w:val="clear" w:color="000000" w:fill="CAE7F3"/>
            <w:noWrap/>
            <w:hideMark/>
          </w:tcPr>
          <w:p w14:paraId="09502906" w14:textId="77777777" w:rsidR="00EA2D82" w:rsidRPr="00060581" w:rsidRDefault="00EA2D82" w:rsidP="00F70F3E">
            <w:pPr>
              <w:spacing w:after="0" w:line="360" w:lineRule="auto"/>
              <w:ind w:left="0"/>
              <w:jc w:val="right"/>
              <w:rPr>
                <w:rFonts w:eastAsia="Times New Roman" w:cs="Arial"/>
                <w:sz w:val="18"/>
                <w:szCs w:val="18"/>
                <w:lang w:eastAsia="en-AU"/>
              </w:rPr>
            </w:pPr>
            <w:r w:rsidRPr="00CB4EBE">
              <w:rPr>
                <w:sz w:val="18"/>
                <w:szCs w:val="18"/>
              </w:rPr>
              <w:t>20.3</w:t>
            </w:r>
          </w:p>
        </w:tc>
        <w:tc>
          <w:tcPr>
            <w:tcW w:w="359" w:type="dxa"/>
            <w:tcBorders>
              <w:top w:val="nil"/>
              <w:left w:val="nil"/>
              <w:bottom w:val="nil"/>
              <w:right w:val="nil"/>
            </w:tcBorders>
            <w:shd w:val="clear" w:color="000000" w:fill="CAE7F3"/>
            <w:noWrap/>
            <w:hideMark/>
          </w:tcPr>
          <w:p w14:paraId="63428420" w14:textId="77777777" w:rsidR="00EA2D82" w:rsidRPr="00060581" w:rsidRDefault="00EA2D82" w:rsidP="00F70F3E">
            <w:pPr>
              <w:spacing w:after="0" w:line="360" w:lineRule="auto"/>
              <w:ind w:left="0"/>
              <w:jc w:val="left"/>
              <w:rPr>
                <w:rFonts w:eastAsia="Times New Roman" w:cs="Arial"/>
                <w:sz w:val="18"/>
                <w:szCs w:val="18"/>
                <w:lang w:eastAsia="en-AU"/>
              </w:rPr>
            </w:pPr>
          </w:p>
        </w:tc>
        <w:tc>
          <w:tcPr>
            <w:tcW w:w="1200" w:type="dxa"/>
            <w:tcBorders>
              <w:top w:val="nil"/>
              <w:left w:val="nil"/>
              <w:bottom w:val="nil"/>
              <w:right w:val="nil"/>
            </w:tcBorders>
            <w:shd w:val="clear" w:color="000000" w:fill="CAE7F3"/>
            <w:noWrap/>
            <w:hideMark/>
          </w:tcPr>
          <w:p w14:paraId="09D39B44" w14:textId="77777777" w:rsidR="00EA2D82" w:rsidRPr="00060581" w:rsidRDefault="00EA2D82" w:rsidP="00F70F3E">
            <w:pPr>
              <w:spacing w:after="0" w:line="360" w:lineRule="auto"/>
              <w:ind w:left="0"/>
              <w:jc w:val="right"/>
              <w:rPr>
                <w:rFonts w:eastAsia="Times New Roman" w:cs="Arial"/>
                <w:sz w:val="18"/>
                <w:szCs w:val="18"/>
                <w:lang w:eastAsia="en-AU"/>
              </w:rPr>
            </w:pPr>
            <w:r w:rsidRPr="00CB4EBE">
              <w:rPr>
                <w:sz w:val="18"/>
                <w:szCs w:val="18"/>
              </w:rPr>
              <w:t>6.6</w:t>
            </w:r>
          </w:p>
        </w:tc>
        <w:tc>
          <w:tcPr>
            <w:tcW w:w="1559" w:type="dxa"/>
            <w:tcBorders>
              <w:top w:val="nil"/>
              <w:left w:val="nil"/>
              <w:bottom w:val="nil"/>
              <w:right w:val="nil"/>
            </w:tcBorders>
            <w:shd w:val="clear" w:color="000000" w:fill="CAE7F3"/>
            <w:noWrap/>
            <w:hideMark/>
          </w:tcPr>
          <w:p w14:paraId="15F838CD" w14:textId="77777777" w:rsidR="00EA2D82" w:rsidRPr="00060581" w:rsidRDefault="00EA2D82" w:rsidP="00F70F3E">
            <w:pPr>
              <w:spacing w:after="0" w:line="360" w:lineRule="auto"/>
              <w:ind w:left="0"/>
              <w:jc w:val="right"/>
              <w:rPr>
                <w:rFonts w:eastAsia="Times New Roman" w:cs="Arial"/>
                <w:sz w:val="18"/>
                <w:szCs w:val="18"/>
                <w:lang w:eastAsia="en-AU"/>
              </w:rPr>
            </w:pPr>
            <w:r w:rsidRPr="00CB4EBE">
              <w:rPr>
                <w:sz w:val="18"/>
                <w:szCs w:val="18"/>
              </w:rPr>
              <w:t>6.4</w:t>
            </w:r>
          </w:p>
        </w:tc>
      </w:tr>
      <w:tr w:rsidR="00EA2D82" w:rsidRPr="001F1F3C" w14:paraId="311FB799" w14:textId="77777777" w:rsidTr="00F70F3E">
        <w:trPr>
          <w:trHeight w:val="240"/>
        </w:trPr>
        <w:tc>
          <w:tcPr>
            <w:tcW w:w="1276" w:type="dxa"/>
            <w:tcBorders>
              <w:top w:val="nil"/>
              <w:left w:val="nil"/>
              <w:bottom w:val="nil"/>
              <w:right w:val="nil"/>
            </w:tcBorders>
            <w:shd w:val="clear" w:color="000000" w:fill="CAE7F3"/>
            <w:noWrap/>
            <w:hideMark/>
          </w:tcPr>
          <w:p w14:paraId="3770B7CB" w14:textId="77777777" w:rsidR="00EA2D82" w:rsidRPr="00060581" w:rsidRDefault="00EA2D82" w:rsidP="00F70F3E">
            <w:pPr>
              <w:spacing w:after="0" w:line="480" w:lineRule="auto"/>
              <w:ind w:left="0"/>
              <w:jc w:val="left"/>
              <w:rPr>
                <w:rFonts w:eastAsia="Times New Roman" w:cs="Arial"/>
                <w:sz w:val="18"/>
                <w:szCs w:val="18"/>
                <w:lang w:eastAsia="en-AU"/>
              </w:rPr>
            </w:pPr>
            <w:r w:rsidRPr="00CB4EBE">
              <w:rPr>
                <w:sz w:val="18"/>
                <w:szCs w:val="18"/>
              </w:rPr>
              <w:t>Other mining</w:t>
            </w:r>
          </w:p>
        </w:tc>
        <w:tc>
          <w:tcPr>
            <w:tcW w:w="1134" w:type="dxa"/>
            <w:tcBorders>
              <w:top w:val="nil"/>
              <w:left w:val="nil"/>
              <w:bottom w:val="nil"/>
              <w:right w:val="nil"/>
            </w:tcBorders>
            <w:shd w:val="clear" w:color="000000" w:fill="CAE7F3"/>
            <w:noWrap/>
            <w:hideMark/>
          </w:tcPr>
          <w:p w14:paraId="7A47AAB4" w14:textId="77777777" w:rsidR="00EA2D82" w:rsidRPr="00060581" w:rsidRDefault="00EA2D82" w:rsidP="00F70F3E">
            <w:pPr>
              <w:spacing w:after="0" w:line="480" w:lineRule="auto"/>
              <w:ind w:left="0"/>
              <w:jc w:val="right"/>
              <w:rPr>
                <w:rFonts w:eastAsia="Times New Roman" w:cs="Arial"/>
                <w:sz w:val="18"/>
                <w:szCs w:val="18"/>
                <w:lang w:eastAsia="en-AU"/>
              </w:rPr>
            </w:pPr>
            <w:r w:rsidRPr="00CB4EBE">
              <w:rPr>
                <w:sz w:val="18"/>
                <w:szCs w:val="18"/>
              </w:rPr>
              <w:t>186.3</w:t>
            </w:r>
          </w:p>
        </w:tc>
        <w:tc>
          <w:tcPr>
            <w:tcW w:w="1418" w:type="dxa"/>
            <w:tcBorders>
              <w:top w:val="nil"/>
              <w:left w:val="nil"/>
              <w:bottom w:val="nil"/>
              <w:right w:val="nil"/>
            </w:tcBorders>
            <w:shd w:val="clear" w:color="000000" w:fill="CAE7F3"/>
            <w:noWrap/>
            <w:hideMark/>
          </w:tcPr>
          <w:p w14:paraId="2A6CB1EE" w14:textId="77777777" w:rsidR="00EA2D82" w:rsidRPr="00060581" w:rsidRDefault="00EA2D82" w:rsidP="00F70F3E">
            <w:pPr>
              <w:spacing w:after="0" w:line="480" w:lineRule="auto"/>
              <w:ind w:left="0"/>
              <w:jc w:val="right"/>
              <w:rPr>
                <w:rFonts w:eastAsia="Times New Roman" w:cs="Arial"/>
                <w:sz w:val="18"/>
                <w:szCs w:val="18"/>
                <w:lang w:eastAsia="en-AU"/>
              </w:rPr>
            </w:pPr>
            <w:r w:rsidRPr="00CB4EBE">
              <w:rPr>
                <w:sz w:val="18"/>
                <w:szCs w:val="18"/>
              </w:rPr>
              <w:t>27.9</w:t>
            </w:r>
          </w:p>
        </w:tc>
        <w:tc>
          <w:tcPr>
            <w:tcW w:w="359" w:type="dxa"/>
            <w:tcBorders>
              <w:top w:val="nil"/>
              <w:left w:val="nil"/>
              <w:bottom w:val="nil"/>
              <w:right w:val="nil"/>
            </w:tcBorders>
            <w:shd w:val="clear" w:color="000000" w:fill="CAE7F3"/>
            <w:noWrap/>
            <w:hideMark/>
          </w:tcPr>
          <w:p w14:paraId="26F2B8BA" w14:textId="77777777" w:rsidR="00EA2D82" w:rsidRPr="00060581" w:rsidRDefault="00EA2D82" w:rsidP="00F70F3E">
            <w:pPr>
              <w:spacing w:after="0" w:line="480" w:lineRule="auto"/>
              <w:ind w:left="0"/>
              <w:jc w:val="left"/>
              <w:rPr>
                <w:rFonts w:eastAsia="Times New Roman" w:cs="Arial"/>
                <w:sz w:val="18"/>
                <w:szCs w:val="18"/>
                <w:lang w:eastAsia="en-AU"/>
              </w:rPr>
            </w:pPr>
          </w:p>
        </w:tc>
        <w:tc>
          <w:tcPr>
            <w:tcW w:w="1200" w:type="dxa"/>
            <w:tcBorders>
              <w:top w:val="nil"/>
              <w:left w:val="nil"/>
              <w:bottom w:val="nil"/>
              <w:right w:val="nil"/>
            </w:tcBorders>
            <w:shd w:val="clear" w:color="000000" w:fill="CAE7F3"/>
            <w:noWrap/>
            <w:hideMark/>
          </w:tcPr>
          <w:p w14:paraId="48A57310" w14:textId="77777777" w:rsidR="00EA2D82" w:rsidRPr="00060581" w:rsidRDefault="00EA2D82" w:rsidP="00F70F3E">
            <w:pPr>
              <w:spacing w:after="0" w:line="480" w:lineRule="auto"/>
              <w:ind w:left="0"/>
              <w:jc w:val="right"/>
              <w:rPr>
                <w:rFonts w:eastAsia="Times New Roman" w:cs="Arial"/>
                <w:sz w:val="18"/>
                <w:szCs w:val="18"/>
                <w:lang w:eastAsia="en-AU"/>
              </w:rPr>
            </w:pPr>
            <w:r w:rsidRPr="00CB4EBE">
              <w:rPr>
                <w:sz w:val="18"/>
                <w:szCs w:val="18"/>
              </w:rPr>
              <w:t>4.7</w:t>
            </w:r>
          </w:p>
        </w:tc>
        <w:tc>
          <w:tcPr>
            <w:tcW w:w="1559" w:type="dxa"/>
            <w:tcBorders>
              <w:top w:val="nil"/>
              <w:left w:val="nil"/>
              <w:bottom w:val="nil"/>
              <w:right w:val="nil"/>
            </w:tcBorders>
            <w:shd w:val="clear" w:color="000000" w:fill="CAE7F3"/>
            <w:noWrap/>
            <w:hideMark/>
          </w:tcPr>
          <w:p w14:paraId="0E3C0F32" w14:textId="77777777" w:rsidR="00EA2D82" w:rsidRPr="00060581" w:rsidRDefault="00EA2D82" w:rsidP="00F70F3E">
            <w:pPr>
              <w:spacing w:after="0" w:line="480" w:lineRule="auto"/>
              <w:ind w:left="0"/>
              <w:jc w:val="right"/>
              <w:rPr>
                <w:rFonts w:eastAsia="Times New Roman" w:cs="Arial"/>
                <w:sz w:val="18"/>
                <w:szCs w:val="18"/>
                <w:lang w:eastAsia="en-AU"/>
              </w:rPr>
            </w:pPr>
            <w:r w:rsidRPr="00CB4EBE">
              <w:rPr>
                <w:sz w:val="18"/>
                <w:szCs w:val="18"/>
              </w:rPr>
              <w:t>8.2</w:t>
            </w:r>
          </w:p>
        </w:tc>
      </w:tr>
      <w:tr w:rsidR="00EA2D82" w:rsidRPr="001F1F3C" w14:paraId="69D53067" w14:textId="77777777" w:rsidTr="00F70F3E">
        <w:trPr>
          <w:trHeight w:val="240"/>
        </w:trPr>
        <w:tc>
          <w:tcPr>
            <w:tcW w:w="1276" w:type="dxa"/>
            <w:tcBorders>
              <w:top w:val="nil"/>
              <w:left w:val="nil"/>
              <w:bottom w:val="nil"/>
              <w:right w:val="nil"/>
            </w:tcBorders>
            <w:shd w:val="clear" w:color="000000" w:fill="CAE7F3"/>
            <w:noWrap/>
            <w:hideMark/>
          </w:tcPr>
          <w:p w14:paraId="28D33888" w14:textId="77777777" w:rsidR="00EA2D82" w:rsidRPr="00060581" w:rsidRDefault="00EA2D82" w:rsidP="00F70F3E">
            <w:pPr>
              <w:spacing w:after="0" w:line="360" w:lineRule="auto"/>
              <w:ind w:left="0"/>
              <w:jc w:val="left"/>
              <w:rPr>
                <w:rFonts w:eastAsia="Times New Roman" w:cs="Arial"/>
                <w:b/>
                <w:bCs/>
                <w:sz w:val="18"/>
                <w:szCs w:val="18"/>
                <w:lang w:eastAsia="en-AU"/>
              </w:rPr>
            </w:pPr>
            <w:r w:rsidRPr="00CB4EBE">
              <w:rPr>
                <w:b/>
                <w:sz w:val="18"/>
                <w:szCs w:val="18"/>
              </w:rPr>
              <w:t>Total</w:t>
            </w:r>
          </w:p>
        </w:tc>
        <w:tc>
          <w:tcPr>
            <w:tcW w:w="1134" w:type="dxa"/>
            <w:tcBorders>
              <w:top w:val="nil"/>
              <w:left w:val="nil"/>
              <w:bottom w:val="nil"/>
              <w:right w:val="nil"/>
            </w:tcBorders>
            <w:shd w:val="clear" w:color="000000" w:fill="CAE7F3"/>
            <w:noWrap/>
            <w:hideMark/>
          </w:tcPr>
          <w:p w14:paraId="4A2C8BFA" w14:textId="77777777" w:rsidR="00EA2D82" w:rsidRPr="00060581" w:rsidRDefault="00EA2D82" w:rsidP="00F70F3E">
            <w:pPr>
              <w:spacing w:after="0" w:line="360" w:lineRule="auto"/>
              <w:ind w:left="0"/>
              <w:jc w:val="right"/>
              <w:rPr>
                <w:rFonts w:eastAsia="Times New Roman" w:cs="Arial"/>
                <w:b/>
                <w:bCs/>
                <w:sz w:val="18"/>
                <w:szCs w:val="18"/>
                <w:lang w:eastAsia="en-AU"/>
              </w:rPr>
            </w:pPr>
            <w:r w:rsidRPr="00CB4EBE">
              <w:rPr>
                <w:b/>
                <w:sz w:val="18"/>
                <w:szCs w:val="18"/>
              </w:rPr>
              <w:t>669.0</w:t>
            </w:r>
          </w:p>
        </w:tc>
        <w:tc>
          <w:tcPr>
            <w:tcW w:w="1418" w:type="dxa"/>
            <w:tcBorders>
              <w:top w:val="nil"/>
              <w:left w:val="nil"/>
              <w:bottom w:val="nil"/>
              <w:right w:val="nil"/>
            </w:tcBorders>
            <w:shd w:val="clear" w:color="000000" w:fill="CAE7F3"/>
            <w:noWrap/>
            <w:hideMark/>
          </w:tcPr>
          <w:p w14:paraId="2A02D61B" w14:textId="77777777" w:rsidR="00EA2D82" w:rsidRPr="00060581" w:rsidRDefault="00EA2D82" w:rsidP="00F70F3E">
            <w:pPr>
              <w:spacing w:after="0" w:line="360" w:lineRule="auto"/>
              <w:ind w:left="0"/>
              <w:jc w:val="right"/>
              <w:rPr>
                <w:rFonts w:eastAsia="Times New Roman" w:cs="Arial"/>
                <w:b/>
                <w:bCs/>
                <w:sz w:val="18"/>
                <w:szCs w:val="18"/>
                <w:lang w:eastAsia="en-AU"/>
              </w:rPr>
            </w:pPr>
            <w:r w:rsidRPr="00CB4EBE">
              <w:rPr>
                <w:b/>
                <w:sz w:val="18"/>
                <w:szCs w:val="18"/>
              </w:rPr>
              <w:t>100.0</w:t>
            </w:r>
          </w:p>
        </w:tc>
        <w:tc>
          <w:tcPr>
            <w:tcW w:w="359" w:type="dxa"/>
            <w:tcBorders>
              <w:top w:val="nil"/>
              <w:left w:val="nil"/>
              <w:bottom w:val="nil"/>
              <w:right w:val="nil"/>
            </w:tcBorders>
            <w:shd w:val="clear" w:color="000000" w:fill="CAE7F3"/>
            <w:noWrap/>
            <w:hideMark/>
          </w:tcPr>
          <w:p w14:paraId="49DC8CF2" w14:textId="77777777" w:rsidR="00EA2D82" w:rsidRPr="00060581" w:rsidRDefault="00EA2D82" w:rsidP="00F70F3E">
            <w:pPr>
              <w:spacing w:after="0" w:line="360" w:lineRule="auto"/>
              <w:ind w:left="0"/>
              <w:jc w:val="left"/>
              <w:rPr>
                <w:rFonts w:eastAsia="Times New Roman" w:cs="Arial"/>
                <w:b/>
                <w:bCs/>
                <w:sz w:val="18"/>
                <w:szCs w:val="18"/>
                <w:lang w:eastAsia="en-AU"/>
              </w:rPr>
            </w:pPr>
          </w:p>
        </w:tc>
        <w:tc>
          <w:tcPr>
            <w:tcW w:w="1200" w:type="dxa"/>
            <w:tcBorders>
              <w:top w:val="nil"/>
              <w:left w:val="nil"/>
              <w:bottom w:val="nil"/>
              <w:right w:val="nil"/>
            </w:tcBorders>
            <w:shd w:val="clear" w:color="000000" w:fill="CAE7F3"/>
            <w:noWrap/>
            <w:hideMark/>
          </w:tcPr>
          <w:p w14:paraId="2D17F02A" w14:textId="77777777" w:rsidR="00EA2D82" w:rsidRPr="00060581" w:rsidRDefault="00EA2D82" w:rsidP="00F70F3E">
            <w:pPr>
              <w:spacing w:after="0" w:line="360" w:lineRule="auto"/>
              <w:ind w:left="0"/>
              <w:jc w:val="right"/>
              <w:rPr>
                <w:rFonts w:eastAsia="Times New Roman" w:cs="Arial"/>
                <w:b/>
                <w:bCs/>
                <w:sz w:val="18"/>
                <w:szCs w:val="18"/>
                <w:lang w:eastAsia="en-AU"/>
              </w:rPr>
            </w:pPr>
            <w:r w:rsidRPr="00CB4EBE">
              <w:rPr>
                <w:b/>
                <w:sz w:val="18"/>
                <w:szCs w:val="18"/>
              </w:rPr>
              <w:t>11.8</w:t>
            </w:r>
          </w:p>
        </w:tc>
        <w:tc>
          <w:tcPr>
            <w:tcW w:w="1559" w:type="dxa"/>
            <w:tcBorders>
              <w:top w:val="nil"/>
              <w:left w:val="nil"/>
              <w:bottom w:val="nil"/>
              <w:right w:val="nil"/>
            </w:tcBorders>
            <w:shd w:val="clear" w:color="000000" w:fill="CAE7F3"/>
            <w:noWrap/>
            <w:hideMark/>
          </w:tcPr>
          <w:p w14:paraId="0A654358" w14:textId="77777777" w:rsidR="00EA2D82" w:rsidRPr="00060581" w:rsidRDefault="00EA2D82" w:rsidP="00F70F3E">
            <w:pPr>
              <w:spacing w:after="0" w:line="360" w:lineRule="auto"/>
              <w:ind w:left="0"/>
              <w:jc w:val="right"/>
              <w:rPr>
                <w:rFonts w:eastAsia="Times New Roman" w:cs="Arial"/>
                <w:b/>
                <w:bCs/>
                <w:sz w:val="18"/>
                <w:szCs w:val="18"/>
                <w:lang w:eastAsia="en-AU"/>
              </w:rPr>
            </w:pPr>
            <w:r w:rsidRPr="00CB4EBE">
              <w:rPr>
                <w:b/>
                <w:sz w:val="18"/>
                <w:szCs w:val="18"/>
              </w:rPr>
              <w:t>8.0</w:t>
            </w:r>
          </w:p>
        </w:tc>
      </w:tr>
    </w:tbl>
    <w:p w14:paraId="32AECA6B" w14:textId="77777777" w:rsidR="00EA2D82" w:rsidRDefault="00EA2D82" w:rsidP="00EA2D82">
      <w:pPr>
        <w:pStyle w:val="Source"/>
        <w:rPr>
          <w:color w:val="595A5B" w:themeColor="text1"/>
        </w:rPr>
      </w:pPr>
      <w:r w:rsidRPr="001F1F3C">
        <w:rPr>
          <w:color w:val="595A5B" w:themeColor="text1"/>
        </w:rPr>
        <w:t xml:space="preserve">Source: </w:t>
      </w:r>
      <w:r w:rsidRPr="001F1F3C">
        <w:rPr>
          <w:color w:val="595A5B" w:themeColor="text1"/>
          <w:szCs w:val="16"/>
        </w:rPr>
        <w:t xml:space="preserve">Department of the Environment and Energy (2018) </w:t>
      </w:r>
      <w:r w:rsidRPr="001F1F3C">
        <w:rPr>
          <w:i/>
          <w:color w:val="595A5B" w:themeColor="text1"/>
        </w:rPr>
        <w:t>Australian Energy Statistics</w:t>
      </w:r>
      <w:r w:rsidRPr="001F1F3C">
        <w:rPr>
          <w:color w:val="595A5B" w:themeColor="text1"/>
        </w:rPr>
        <w:t xml:space="preserve">, </w:t>
      </w:r>
      <w:r w:rsidRPr="001F1F3C">
        <w:rPr>
          <w:color w:val="595A5B" w:themeColor="text1"/>
        </w:rPr>
        <w:br/>
        <w:t>Table F.</w:t>
      </w:r>
    </w:p>
    <w:p w14:paraId="108688BF" w14:textId="7FEBE1C6" w:rsidR="00F37875" w:rsidRDefault="00F37875" w:rsidP="00F37875">
      <w:pPr>
        <w:pStyle w:val="BodyText"/>
      </w:pPr>
      <w:r>
        <w:t>This excludes gas used for electricity generation at the processing and liquefaction plants, which is included in the electricity generation sector of the AES. The mining sector includes electricity consumption at these facilities, which also increased strongly</w:t>
      </w:r>
      <w:r w:rsidR="00735689">
        <w:t xml:space="preserve"> in 2016–17</w:t>
      </w:r>
      <w:r>
        <w:t>.</w:t>
      </w:r>
    </w:p>
    <w:p w14:paraId="1438D085" w14:textId="1741562E" w:rsidR="00F37875" w:rsidRDefault="00F37875" w:rsidP="00F37875">
      <w:pPr>
        <w:pStyle w:val="BodyText"/>
      </w:pPr>
      <w:r w:rsidRPr="001F1F3C">
        <w:lastRenderedPageBreak/>
        <w:t>Other parts of the mining sector also recorded large increases in energy use</w:t>
      </w:r>
      <w:r w:rsidR="004C41E0">
        <w:t xml:space="preserve"> in 2016–17</w:t>
      </w:r>
      <w:r w:rsidRPr="001F1F3C">
        <w:t>. In particular</w:t>
      </w:r>
      <w:r w:rsidR="004C41E0">
        <w:t>,</w:t>
      </w:r>
      <w:r w:rsidRPr="001F1F3C">
        <w:t xml:space="preserve"> there was an increase in diesel consumption in Queensland’s coal mining industry and in Western Australia’s other mining industry as </w:t>
      </w:r>
      <w:r w:rsidR="003A0C78" w:rsidRPr="001F1F3C">
        <w:t>commodity</w:t>
      </w:r>
      <w:r w:rsidRPr="001F1F3C">
        <w:t xml:space="preserve"> prices recovered over this period. </w:t>
      </w:r>
      <w:r w:rsidR="000F66A7">
        <w:t>Iron ore production increased by 4 per cent in 2016–17</w:t>
      </w:r>
      <w:r w:rsidR="00735689">
        <w:t xml:space="preserve"> (Department of Industry, Innovation and Science 2018)</w:t>
      </w:r>
      <w:r w:rsidR="000F66A7">
        <w:t>.</w:t>
      </w:r>
    </w:p>
    <w:p w14:paraId="77EE2596" w14:textId="5C5E370E" w:rsidR="00EA2D82" w:rsidRPr="001F1F3C" w:rsidRDefault="00C1400E" w:rsidP="00082FE6">
      <w:pPr>
        <w:pStyle w:val="Caption"/>
        <w:ind w:left="-1985"/>
      </w:pPr>
      <w:bookmarkStart w:id="87" w:name="_Toc523777421"/>
      <w:bookmarkEnd w:id="83"/>
      <w:bookmarkEnd w:id="84"/>
      <w:r>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rsidR="003348D2">
        <w:t>.</w:t>
      </w:r>
      <w:r w:rsidR="00941B67">
        <w:rPr>
          <w:noProof/>
        </w:rPr>
        <w:fldChar w:fldCharType="begin"/>
      </w:r>
      <w:r w:rsidR="00941B67">
        <w:rPr>
          <w:noProof/>
        </w:rPr>
        <w:instrText xml:space="preserve"> SEQ Figure \* ARABIC \s 1 </w:instrText>
      </w:r>
      <w:r w:rsidR="00941B67">
        <w:rPr>
          <w:noProof/>
        </w:rPr>
        <w:fldChar w:fldCharType="separate"/>
      </w:r>
      <w:r w:rsidR="00D72ABB">
        <w:rPr>
          <w:noProof/>
        </w:rPr>
        <w:t>6</w:t>
      </w:r>
      <w:r w:rsidR="00941B67">
        <w:rPr>
          <w:noProof/>
        </w:rPr>
        <w:fldChar w:fldCharType="end"/>
      </w:r>
      <w:r>
        <w:t xml:space="preserve">: </w:t>
      </w:r>
      <w:r w:rsidR="00EA2D82" w:rsidRPr="001F1F3C">
        <w:t>Australian energy consumption in mining</w:t>
      </w:r>
      <w:bookmarkEnd w:id="87"/>
      <w:r w:rsidR="00EA2D82" w:rsidRPr="001F1F3C">
        <w:t xml:space="preserve"> </w:t>
      </w:r>
    </w:p>
    <w:tbl>
      <w:tblPr>
        <w:tblStyle w:val="OCETable"/>
        <w:tblW w:w="6400" w:type="pct"/>
        <w:tblInd w:w="-1985" w:type="dxa"/>
        <w:tblLayout w:type="fixed"/>
        <w:tblLook w:val="04A0" w:firstRow="1" w:lastRow="0" w:firstColumn="1" w:lastColumn="0" w:noHBand="0" w:noVBand="1"/>
        <w:tblCaption w:val="Placeholder obejct only"/>
      </w:tblPr>
      <w:tblGrid>
        <w:gridCol w:w="8824"/>
      </w:tblGrid>
      <w:tr w:rsidR="00EA2D82" w:rsidRPr="001F1F3C" w14:paraId="52CA46EA" w14:textId="77777777" w:rsidTr="00AF18F6">
        <w:trPr>
          <w:cnfStyle w:val="100000000000" w:firstRow="1" w:lastRow="0" w:firstColumn="0" w:lastColumn="0" w:oddVBand="0" w:evenVBand="0" w:oddHBand="0" w:evenHBand="0" w:firstRowFirstColumn="0" w:firstRowLastColumn="0" w:lastRowFirstColumn="0" w:lastRowLastColumn="0"/>
          <w:trHeight w:val="5219"/>
          <w:tblHeader/>
        </w:trPr>
        <w:tc>
          <w:tcPr>
            <w:tcW w:w="8824" w:type="dxa"/>
            <w:shd w:val="clear" w:color="auto" w:fill="auto"/>
          </w:tcPr>
          <w:p w14:paraId="0624F4A6" w14:textId="22B5BF08" w:rsidR="00EA2D82" w:rsidRPr="001F1F3C" w:rsidRDefault="00AB3AAF" w:rsidP="00AB3AAF">
            <w:pPr>
              <w:pStyle w:val="PlaceholderWide"/>
              <w:tabs>
                <w:tab w:val="left" w:pos="285"/>
                <w:tab w:val="left" w:pos="3750"/>
              </w:tabs>
              <w:jc w:val="both"/>
            </w:pPr>
            <w:r>
              <w:rPr>
                <w:noProof/>
                <w:lang w:eastAsia="en-AU"/>
              </w:rPr>
              <w:drawing>
                <wp:inline distT="0" distB="0" distL="0" distR="0" wp14:anchorId="033D75F1" wp14:editId="2639DDBB">
                  <wp:extent cx="5407660" cy="3249295"/>
                  <wp:effectExtent l="0" t="0" r="2540" b="8255"/>
                  <wp:docPr id="29" name="Picture 29" descr="The figure shows Australian energy consumption in the mining sector, in petajoules from 2002-03 to 2016-17" title="Figure 2.6: Australian energy consumption in mi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7660" cy="3249295"/>
                          </a:xfrm>
                          <a:prstGeom prst="rect">
                            <a:avLst/>
                          </a:prstGeom>
                          <a:noFill/>
                        </pic:spPr>
                      </pic:pic>
                    </a:graphicData>
                  </a:graphic>
                </wp:inline>
              </w:drawing>
            </w:r>
          </w:p>
        </w:tc>
      </w:tr>
    </w:tbl>
    <w:p w14:paraId="350F6B35" w14:textId="3DD42E4A" w:rsidR="00EA2D82" w:rsidRPr="001F1F3C" w:rsidRDefault="00EA2D82" w:rsidP="00EA2D82">
      <w:pPr>
        <w:pStyle w:val="SourceWide"/>
        <w:rPr>
          <w:color w:val="595A5B" w:themeColor="text1"/>
        </w:rPr>
      </w:pPr>
      <w:r w:rsidRPr="001F1F3C">
        <w:rPr>
          <w:color w:val="595A5B" w:themeColor="text1"/>
        </w:rPr>
        <w:t xml:space="preserve">Source: </w:t>
      </w:r>
      <w:r w:rsidRPr="001F1F3C">
        <w:rPr>
          <w:color w:val="595A5B" w:themeColor="text1"/>
          <w:szCs w:val="16"/>
        </w:rPr>
        <w:t>Department of the Environment and Energy (2018</w:t>
      </w:r>
      <w:r w:rsidRPr="001F1F3C">
        <w:rPr>
          <w:color w:val="595A5B" w:themeColor="text1"/>
        </w:rPr>
        <w:t xml:space="preserve">) </w:t>
      </w:r>
      <w:r w:rsidRPr="001F1F3C">
        <w:rPr>
          <w:i/>
          <w:color w:val="595A5B" w:themeColor="text1"/>
        </w:rPr>
        <w:t>Australian Energy Statistics</w:t>
      </w:r>
      <w:r w:rsidRPr="001F1F3C">
        <w:rPr>
          <w:color w:val="595A5B" w:themeColor="text1"/>
        </w:rPr>
        <w:t xml:space="preserve">, Table F </w:t>
      </w:r>
      <w:r w:rsidR="00735689">
        <w:rPr>
          <w:color w:val="595A5B" w:themeColor="text1"/>
        </w:rPr>
        <w:t>and internal sources</w:t>
      </w:r>
    </w:p>
    <w:p w14:paraId="109F62E1" w14:textId="10009E55" w:rsidR="00910771" w:rsidRDefault="00993272" w:rsidP="00910771">
      <w:pPr>
        <w:pStyle w:val="BodyText"/>
      </w:pPr>
      <w:r>
        <w:t>C</w:t>
      </w:r>
      <w:r w:rsidR="00910771" w:rsidRPr="001F1F3C">
        <w:t xml:space="preserve">ommercial and services </w:t>
      </w:r>
      <w:r w:rsidR="00910771">
        <w:t xml:space="preserve">energy consumption </w:t>
      </w:r>
      <w:r>
        <w:t>rose</w:t>
      </w:r>
      <w:r w:rsidR="00910771">
        <w:t xml:space="preserve"> moderately by 2 per</w:t>
      </w:r>
      <w:r w:rsidR="00081F0D">
        <w:t xml:space="preserve"> </w:t>
      </w:r>
      <w:r w:rsidR="00910771">
        <w:t xml:space="preserve">cent in </w:t>
      </w:r>
      <w:r w:rsidR="00910771" w:rsidRPr="001F1F3C">
        <w:t xml:space="preserve">2016–17. </w:t>
      </w:r>
      <w:r w:rsidR="00910771">
        <w:t xml:space="preserve">This </w:t>
      </w:r>
      <w:r>
        <w:t>is</w:t>
      </w:r>
      <w:r w:rsidR="00910771">
        <w:t xml:space="preserve"> attributable to growth in activity in the sector, </w:t>
      </w:r>
      <w:r>
        <w:t>with i</w:t>
      </w:r>
      <w:r w:rsidR="00910771">
        <w:t xml:space="preserve">ndustry </w:t>
      </w:r>
      <w:r>
        <w:t>v</w:t>
      </w:r>
      <w:r w:rsidR="00910771">
        <w:t xml:space="preserve">alue </w:t>
      </w:r>
      <w:r>
        <w:t>a</w:t>
      </w:r>
      <w:r w:rsidR="00910771">
        <w:t xml:space="preserve">dded across the commercial sector </w:t>
      </w:r>
      <w:r>
        <w:t>up by 4 per cent in that year</w:t>
      </w:r>
      <w:r w:rsidR="00735689">
        <w:t xml:space="preserve"> (ABS 2018b)</w:t>
      </w:r>
      <w:r>
        <w:t>.</w:t>
      </w:r>
      <w:r w:rsidR="00910771">
        <w:t xml:space="preserve"> </w:t>
      </w:r>
    </w:p>
    <w:p w14:paraId="03E87D7F" w14:textId="13AEF382" w:rsidR="00ED1864" w:rsidRDefault="001F4600" w:rsidP="00ED1864">
      <w:pPr>
        <w:pStyle w:val="BodyText"/>
      </w:pPr>
      <w:r w:rsidRPr="001F1F3C">
        <w:t xml:space="preserve">Energy consumption in the residential sector </w:t>
      </w:r>
      <w:r w:rsidR="008F161D" w:rsidRPr="001F1F3C">
        <w:t>was relatively flat</w:t>
      </w:r>
      <w:r w:rsidRPr="001F1F3C">
        <w:t xml:space="preserve"> in </w:t>
      </w:r>
      <w:r w:rsidR="003F2CCE" w:rsidRPr="001F1F3C">
        <w:t>2016–17</w:t>
      </w:r>
      <w:r w:rsidR="008F161D" w:rsidRPr="001F1F3C">
        <w:t xml:space="preserve">. </w:t>
      </w:r>
      <w:r w:rsidRPr="001F1F3C">
        <w:t xml:space="preserve">Consumption in the residential sector includes </w:t>
      </w:r>
      <w:r w:rsidR="00672832" w:rsidRPr="001F1F3C">
        <w:t>the</w:t>
      </w:r>
      <w:r w:rsidRPr="001F1F3C">
        <w:t xml:space="preserve"> </w:t>
      </w:r>
      <w:r w:rsidR="00993493" w:rsidRPr="001F1F3C">
        <w:t xml:space="preserve">use of </w:t>
      </w:r>
      <w:r w:rsidRPr="001F1F3C">
        <w:t>electricity genera</w:t>
      </w:r>
      <w:r w:rsidR="00993493" w:rsidRPr="001F1F3C">
        <w:t>ted</w:t>
      </w:r>
      <w:r w:rsidRPr="001F1F3C">
        <w:t xml:space="preserve"> from rooftop solar photovoltaic (PV) systems. </w:t>
      </w:r>
      <w:r w:rsidR="006C20D8" w:rsidRPr="001F1F3C">
        <w:t xml:space="preserve">In recent years, </w:t>
      </w:r>
      <w:r w:rsidR="00BA0EC1" w:rsidRPr="001F1F3C">
        <w:t xml:space="preserve">residential </w:t>
      </w:r>
      <w:r w:rsidR="006C20D8" w:rsidRPr="001F1F3C">
        <w:t>energy consumption has been</w:t>
      </w:r>
      <w:r w:rsidR="00BA0EC1" w:rsidRPr="001F1F3C">
        <w:t xml:space="preserve"> relatively</w:t>
      </w:r>
      <w:r w:rsidR="006C20D8" w:rsidRPr="001F1F3C">
        <w:t xml:space="preserve"> flat or in</w:t>
      </w:r>
      <w:r w:rsidRPr="001F1F3C">
        <w:t xml:space="preserve"> decline </w:t>
      </w:r>
      <w:r w:rsidR="006C20D8" w:rsidRPr="001F1F3C">
        <w:t>in</w:t>
      </w:r>
      <w:r w:rsidRPr="001F1F3C">
        <w:t xml:space="preserve"> response to higher electricity prices and adoption of more energy efficient practices, appliances and housing. </w:t>
      </w:r>
      <w:r w:rsidR="003F5DA2" w:rsidRPr="001F1F3C">
        <w:t>Retail electricity prices</w:t>
      </w:r>
      <w:r w:rsidR="00BA0EC1" w:rsidRPr="001F1F3C">
        <w:t xml:space="preserve"> for households</w:t>
      </w:r>
      <w:r w:rsidR="003F5DA2" w:rsidRPr="001F1F3C">
        <w:t xml:space="preserve"> in </w:t>
      </w:r>
      <w:r w:rsidR="003F2CCE" w:rsidRPr="001F1F3C">
        <w:t>2016–17</w:t>
      </w:r>
      <w:r w:rsidR="003F5DA2" w:rsidRPr="001F1F3C">
        <w:t xml:space="preserve"> </w:t>
      </w:r>
      <w:r w:rsidR="00993272">
        <w:t>rose</w:t>
      </w:r>
      <w:r w:rsidR="00DE6AFF">
        <w:t xml:space="preserve"> by 6</w:t>
      </w:r>
      <w:r w:rsidR="00F80CB3">
        <w:t xml:space="preserve"> per cent</w:t>
      </w:r>
      <w:r w:rsidR="00ED1864">
        <w:t xml:space="preserve"> </w:t>
      </w:r>
      <w:r w:rsidR="00DE6AFF">
        <w:t>and by almost 12 per cent in 2017</w:t>
      </w:r>
      <w:r w:rsidR="00DE6AFF" w:rsidRPr="001F1F3C">
        <w:t>–</w:t>
      </w:r>
      <w:r w:rsidR="00DE6AFF">
        <w:t xml:space="preserve">18 </w:t>
      </w:r>
      <w:r w:rsidR="003F5DA2" w:rsidRPr="001F1F3C">
        <w:t xml:space="preserve">(Figure </w:t>
      </w:r>
      <w:r w:rsidR="00143420">
        <w:t>2</w:t>
      </w:r>
      <w:r w:rsidR="003F5DA2" w:rsidRPr="001F1F3C">
        <w:t>.</w:t>
      </w:r>
      <w:r w:rsidR="00993272">
        <w:t>7</w:t>
      </w:r>
      <w:r w:rsidR="003F5DA2" w:rsidRPr="001F1F3C">
        <w:t>).</w:t>
      </w:r>
    </w:p>
    <w:p w14:paraId="7AAC0A51" w14:textId="65489FE7" w:rsidR="00993272" w:rsidRPr="001F1F3C" w:rsidRDefault="00993272" w:rsidP="00ED1864">
      <w:pPr>
        <w:pStyle w:val="BodyText"/>
      </w:pPr>
      <w:r>
        <w:t xml:space="preserve">In the agriculture sector, energy use increased nearly 6 per cent in 2016–17. </w:t>
      </w:r>
      <w:r>
        <w:rPr>
          <w:rFonts w:cs="Arial"/>
          <w:szCs w:val="20"/>
        </w:rPr>
        <w:t>A record winter harvest in 2016–17 increased diesel demand for cropping, with winter crop production 50 per cent higher in 2016–17</w:t>
      </w:r>
      <w:r w:rsidR="009B1CDC">
        <w:rPr>
          <w:rFonts w:cs="Arial"/>
          <w:szCs w:val="20"/>
        </w:rPr>
        <w:t xml:space="preserve"> (ABARES 2018)</w:t>
      </w:r>
      <w:r>
        <w:rPr>
          <w:rFonts w:cs="Arial"/>
          <w:szCs w:val="20"/>
        </w:rPr>
        <w:t>.</w:t>
      </w:r>
    </w:p>
    <w:p w14:paraId="092320CB" w14:textId="28386ACD" w:rsidR="00ED1864" w:rsidRPr="001F1F3C" w:rsidRDefault="00C1400E" w:rsidP="00082FE6">
      <w:pPr>
        <w:pStyle w:val="Caption"/>
        <w:ind w:left="-1985"/>
      </w:pPr>
      <w:bookmarkStart w:id="88" w:name="_Toc523777422"/>
      <w:r>
        <w:lastRenderedPageBreak/>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rsidR="003348D2">
        <w:t>.</w:t>
      </w:r>
      <w:r w:rsidR="00941B67">
        <w:rPr>
          <w:noProof/>
        </w:rPr>
        <w:fldChar w:fldCharType="begin"/>
      </w:r>
      <w:r w:rsidR="00941B67">
        <w:rPr>
          <w:noProof/>
        </w:rPr>
        <w:instrText xml:space="preserve"> SEQ Figure \* ARABIC \s 1 </w:instrText>
      </w:r>
      <w:r w:rsidR="00941B67">
        <w:rPr>
          <w:noProof/>
        </w:rPr>
        <w:fldChar w:fldCharType="separate"/>
      </w:r>
      <w:r w:rsidR="00D72ABB">
        <w:rPr>
          <w:noProof/>
        </w:rPr>
        <w:t>7</w:t>
      </w:r>
      <w:r w:rsidR="00941B67">
        <w:rPr>
          <w:noProof/>
        </w:rPr>
        <w:fldChar w:fldCharType="end"/>
      </w:r>
      <w:r>
        <w:t xml:space="preserve">: </w:t>
      </w:r>
      <w:r w:rsidR="00E60A5C">
        <w:t>Quarterly h</w:t>
      </w:r>
      <w:r w:rsidR="00ED1864" w:rsidRPr="001F1F3C">
        <w:t>ousehold energy price index</w:t>
      </w:r>
      <w:bookmarkEnd w:id="88"/>
    </w:p>
    <w:tbl>
      <w:tblPr>
        <w:tblStyle w:val="OCETable"/>
        <w:tblW w:w="6379" w:type="pct"/>
        <w:tblInd w:w="-1877" w:type="dxa"/>
        <w:tblLayout w:type="fixed"/>
        <w:tblLook w:val="04A0" w:firstRow="1" w:lastRow="0" w:firstColumn="1" w:lastColumn="0" w:noHBand="0" w:noVBand="1"/>
        <w:tblCaption w:val="Placeholder obejct only"/>
      </w:tblPr>
      <w:tblGrid>
        <w:gridCol w:w="8795"/>
      </w:tblGrid>
      <w:tr w:rsidR="00ED1864" w:rsidRPr="001F1F3C" w14:paraId="5E901CB8" w14:textId="77777777" w:rsidTr="00ED1864">
        <w:trPr>
          <w:cnfStyle w:val="100000000000" w:firstRow="1" w:lastRow="0" w:firstColumn="0" w:lastColumn="0" w:oddVBand="0" w:evenVBand="0" w:oddHBand="0" w:evenHBand="0" w:firstRowFirstColumn="0" w:firstRowLastColumn="0" w:lastRowFirstColumn="0" w:lastRowLastColumn="0"/>
          <w:tblHeader/>
        </w:trPr>
        <w:tc>
          <w:tcPr>
            <w:tcW w:w="8795" w:type="dxa"/>
            <w:shd w:val="clear" w:color="auto" w:fill="auto"/>
          </w:tcPr>
          <w:p w14:paraId="23ADD34E" w14:textId="68602805" w:rsidR="00ED1864" w:rsidRPr="001F1F3C" w:rsidRDefault="006C1219" w:rsidP="00ED1864">
            <w:pPr>
              <w:pStyle w:val="PlaceholderWide"/>
              <w:ind w:left="-1985"/>
              <w:jc w:val="right"/>
            </w:pPr>
            <w:r>
              <w:rPr>
                <w:noProof/>
                <w:lang w:eastAsia="en-AU"/>
              </w:rPr>
              <w:drawing>
                <wp:inline distT="0" distB="0" distL="0" distR="0" wp14:anchorId="704BC12E" wp14:editId="5ECB5175">
                  <wp:extent cx="5407660" cy="3243580"/>
                  <wp:effectExtent l="0" t="0" r="2540" b="0"/>
                  <wp:docPr id="1" name="Picture 1" descr="The figure shows household energy price indexes for electricity, gas and automotive fuels and CPI from June 2003 to June 2018" title="Figure 2.7: Household energy price 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7660" cy="3243580"/>
                          </a:xfrm>
                          <a:prstGeom prst="rect">
                            <a:avLst/>
                          </a:prstGeom>
                          <a:noFill/>
                        </pic:spPr>
                      </pic:pic>
                    </a:graphicData>
                  </a:graphic>
                </wp:inline>
              </w:drawing>
            </w:r>
          </w:p>
        </w:tc>
      </w:tr>
    </w:tbl>
    <w:p w14:paraId="59AAA053" w14:textId="39C07208" w:rsidR="00ED1864" w:rsidRPr="001F1F3C" w:rsidRDefault="00ED1864" w:rsidP="00ED1864">
      <w:pPr>
        <w:pStyle w:val="SourceWide"/>
        <w:spacing w:after="240"/>
        <w:rPr>
          <w:color w:val="595A5B" w:themeColor="text2"/>
          <w:lang w:val="en-AU"/>
        </w:rPr>
      </w:pPr>
      <w:r w:rsidRPr="001F1F3C">
        <w:rPr>
          <w:color w:val="595A5B" w:themeColor="text2"/>
        </w:rPr>
        <w:t>Source: Australian Bureau of Statistics (2018</w:t>
      </w:r>
      <w:r w:rsidR="00BD203D">
        <w:rPr>
          <w:color w:val="595A5B" w:themeColor="text2"/>
        </w:rPr>
        <w:t>c</w:t>
      </w:r>
      <w:r w:rsidRPr="001F1F3C">
        <w:rPr>
          <w:color w:val="595A5B" w:themeColor="text2"/>
        </w:rPr>
        <w:t xml:space="preserve">) </w:t>
      </w:r>
      <w:r w:rsidRPr="001F1F3C">
        <w:rPr>
          <w:i/>
          <w:iCs/>
          <w:color w:val="595A5B" w:themeColor="text2"/>
          <w:lang w:val="en-AU"/>
        </w:rPr>
        <w:t>Consumer Price Index, Australia, June 2018</w:t>
      </w:r>
      <w:r w:rsidRPr="001F1F3C">
        <w:rPr>
          <w:color w:val="595A5B" w:themeColor="text2"/>
          <w:lang w:val="en-AU"/>
        </w:rPr>
        <w:t>, 6401.1</w:t>
      </w:r>
    </w:p>
    <w:p w14:paraId="50700E8A" w14:textId="77777777" w:rsidR="00672832" w:rsidRPr="001F1F3C" w:rsidRDefault="00672832" w:rsidP="00672832">
      <w:pPr>
        <w:pStyle w:val="Heading2"/>
      </w:pPr>
      <w:bookmarkStart w:id="89" w:name="_Toc522197025"/>
      <w:bookmarkStart w:id="90" w:name="_Toc522633188"/>
      <w:r w:rsidRPr="001F1F3C">
        <w:t>Final energy consumption</w:t>
      </w:r>
      <w:bookmarkEnd w:id="89"/>
      <w:bookmarkEnd w:id="90"/>
    </w:p>
    <w:p w14:paraId="4FB9620F" w14:textId="030E25F7" w:rsidR="005E5469" w:rsidRDefault="002C32BB" w:rsidP="005E5469">
      <w:pPr>
        <w:pStyle w:val="BodyText"/>
      </w:pPr>
      <w:r w:rsidRPr="001F1F3C">
        <w:t>F</w:t>
      </w:r>
      <w:r w:rsidR="00672832" w:rsidRPr="001F1F3C">
        <w:t xml:space="preserve">inal energy consumption is the energy used by the final or end-use sectors, and is a subset of total energy consumption. It includes all energy consumed, except energy that is used to convert or transform primary energy into different forms of energy. For example, refinery feedstock that is used to produce petroleum products and fuels consumed in the generation of electricity are both excluded. </w:t>
      </w:r>
    </w:p>
    <w:p w14:paraId="3E748DA6" w14:textId="77777777" w:rsidR="00BC078B" w:rsidRPr="001F1F3C" w:rsidRDefault="00BC078B" w:rsidP="00BC078B">
      <w:pPr>
        <w:pStyle w:val="Caption"/>
      </w:pPr>
      <w:bookmarkStart w:id="91" w:name="_Toc522635719"/>
      <w:r>
        <w:t xml:space="preserve">Table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t>.</w:t>
      </w:r>
      <w:r w:rsidR="00941B67">
        <w:rPr>
          <w:noProof/>
        </w:rPr>
        <w:fldChar w:fldCharType="begin"/>
      </w:r>
      <w:r w:rsidR="00941B67">
        <w:rPr>
          <w:noProof/>
        </w:rPr>
        <w:instrText xml:space="preserve"> SEQ Table \* ARABIC \s 1 </w:instrText>
      </w:r>
      <w:r w:rsidR="00941B67">
        <w:rPr>
          <w:noProof/>
        </w:rPr>
        <w:fldChar w:fldCharType="separate"/>
      </w:r>
      <w:r w:rsidR="00D72ABB">
        <w:rPr>
          <w:noProof/>
        </w:rPr>
        <w:t>7</w:t>
      </w:r>
      <w:r w:rsidR="00941B67">
        <w:rPr>
          <w:noProof/>
        </w:rPr>
        <w:fldChar w:fldCharType="end"/>
      </w:r>
      <w:r>
        <w:t xml:space="preserve">: </w:t>
      </w:r>
      <w:r w:rsidRPr="001F1F3C">
        <w:t xml:space="preserve">Australian total final energy consumption, by </w:t>
      </w:r>
      <w:r>
        <w:t>fuel</w:t>
      </w:r>
      <w:bookmarkEnd w:id="91"/>
    </w:p>
    <w:tbl>
      <w:tblPr>
        <w:tblW w:w="6804" w:type="dxa"/>
        <w:tblLook w:val="04A0" w:firstRow="1" w:lastRow="0" w:firstColumn="1" w:lastColumn="0" w:noHBand="0" w:noVBand="1"/>
      </w:tblPr>
      <w:tblGrid>
        <w:gridCol w:w="1701"/>
        <w:gridCol w:w="992"/>
        <w:gridCol w:w="1417"/>
        <w:gridCol w:w="284"/>
        <w:gridCol w:w="1276"/>
        <w:gridCol w:w="1134"/>
      </w:tblGrid>
      <w:tr w:rsidR="00BC078B" w:rsidRPr="001F1F3C" w14:paraId="09FB191A" w14:textId="77777777" w:rsidTr="00865D28">
        <w:trPr>
          <w:trHeight w:val="300"/>
        </w:trPr>
        <w:tc>
          <w:tcPr>
            <w:tcW w:w="1701" w:type="dxa"/>
            <w:tcBorders>
              <w:top w:val="nil"/>
              <w:left w:val="nil"/>
              <w:bottom w:val="nil"/>
              <w:right w:val="nil"/>
            </w:tcBorders>
            <w:shd w:val="clear" w:color="000000" w:fill="22789A"/>
            <w:noWrap/>
            <w:vAlign w:val="bottom"/>
            <w:hideMark/>
          </w:tcPr>
          <w:p w14:paraId="186AFEC3" w14:textId="77777777" w:rsidR="00BC078B" w:rsidRPr="001F1F3C" w:rsidRDefault="00BC078B" w:rsidP="00865D28">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409" w:type="dxa"/>
            <w:gridSpan w:val="2"/>
            <w:tcBorders>
              <w:top w:val="nil"/>
              <w:left w:val="nil"/>
              <w:bottom w:val="nil"/>
              <w:right w:val="nil"/>
            </w:tcBorders>
            <w:shd w:val="clear" w:color="000000" w:fill="22789A"/>
            <w:noWrap/>
            <w:vAlign w:val="center"/>
            <w:hideMark/>
          </w:tcPr>
          <w:p w14:paraId="5BBC3011" w14:textId="77777777" w:rsidR="00BC078B" w:rsidRPr="001F1F3C" w:rsidRDefault="00BC078B" w:rsidP="00865D28">
            <w:pPr>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2016–17</w:t>
            </w:r>
          </w:p>
        </w:tc>
        <w:tc>
          <w:tcPr>
            <w:tcW w:w="284" w:type="dxa"/>
            <w:tcBorders>
              <w:top w:val="nil"/>
              <w:left w:val="nil"/>
              <w:bottom w:val="nil"/>
              <w:right w:val="nil"/>
            </w:tcBorders>
            <w:shd w:val="clear" w:color="000000" w:fill="22789A"/>
            <w:noWrap/>
            <w:vAlign w:val="bottom"/>
            <w:hideMark/>
          </w:tcPr>
          <w:p w14:paraId="5D8CE2FA" w14:textId="77777777" w:rsidR="00BC078B" w:rsidRPr="001F1F3C" w:rsidRDefault="00BC078B" w:rsidP="00865D28">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410" w:type="dxa"/>
            <w:gridSpan w:val="2"/>
            <w:tcBorders>
              <w:top w:val="nil"/>
              <w:left w:val="nil"/>
              <w:bottom w:val="nil"/>
              <w:right w:val="nil"/>
            </w:tcBorders>
            <w:shd w:val="clear" w:color="000000" w:fill="22789A"/>
            <w:noWrap/>
            <w:vAlign w:val="center"/>
            <w:hideMark/>
          </w:tcPr>
          <w:p w14:paraId="00EC72C1" w14:textId="77777777" w:rsidR="00BC078B" w:rsidRPr="001F1F3C" w:rsidRDefault="00BC078B" w:rsidP="00865D28">
            <w:pPr>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Average annual growth</w:t>
            </w:r>
          </w:p>
        </w:tc>
      </w:tr>
      <w:tr w:rsidR="00BC078B" w:rsidRPr="001F1F3C" w14:paraId="733D9823" w14:textId="77777777" w:rsidTr="00865D28">
        <w:trPr>
          <w:trHeight w:val="240"/>
        </w:trPr>
        <w:tc>
          <w:tcPr>
            <w:tcW w:w="1701" w:type="dxa"/>
            <w:vMerge w:val="restart"/>
            <w:tcBorders>
              <w:top w:val="nil"/>
              <w:left w:val="nil"/>
              <w:bottom w:val="nil"/>
              <w:right w:val="nil"/>
            </w:tcBorders>
            <w:shd w:val="clear" w:color="000000" w:fill="CAE7F3"/>
            <w:noWrap/>
            <w:vAlign w:val="bottom"/>
            <w:hideMark/>
          </w:tcPr>
          <w:p w14:paraId="00FEBCC3" w14:textId="77777777" w:rsidR="00BC078B" w:rsidRPr="00FB0286" w:rsidRDefault="00BC078B" w:rsidP="00865D28">
            <w:pPr>
              <w:spacing w:after="0" w:line="360" w:lineRule="auto"/>
              <w:ind w:left="0"/>
              <w:jc w:val="left"/>
              <w:rPr>
                <w:rFonts w:eastAsia="Times New Roman" w:cs="Arial"/>
                <w:color w:val="000000"/>
                <w:sz w:val="18"/>
                <w:szCs w:val="18"/>
                <w:lang w:eastAsia="en-AU"/>
              </w:rPr>
            </w:pPr>
            <w:r w:rsidRPr="00FB0286">
              <w:rPr>
                <w:rFonts w:eastAsia="Times New Roman" w:cs="Arial"/>
                <w:color w:val="000000"/>
                <w:sz w:val="18"/>
                <w:szCs w:val="18"/>
                <w:lang w:eastAsia="en-AU"/>
              </w:rPr>
              <w:t> </w:t>
            </w:r>
          </w:p>
        </w:tc>
        <w:tc>
          <w:tcPr>
            <w:tcW w:w="992" w:type="dxa"/>
            <w:vMerge w:val="restart"/>
            <w:tcBorders>
              <w:top w:val="nil"/>
              <w:left w:val="nil"/>
              <w:bottom w:val="nil"/>
              <w:right w:val="nil"/>
            </w:tcBorders>
            <w:shd w:val="clear" w:color="000000" w:fill="CAE7F3"/>
            <w:noWrap/>
            <w:vAlign w:val="center"/>
            <w:hideMark/>
          </w:tcPr>
          <w:p w14:paraId="479C3A4D" w14:textId="77777777" w:rsidR="00BC078B" w:rsidRPr="00C4739F" w:rsidRDefault="00BC078B" w:rsidP="00865D28">
            <w:pPr>
              <w:spacing w:after="0" w:line="360" w:lineRule="auto"/>
              <w:ind w:left="0"/>
              <w:jc w:val="right"/>
              <w:rPr>
                <w:rFonts w:eastAsia="Times New Roman" w:cs="Arial"/>
                <w:sz w:val="18"/>
                <w:szCs w:val="18"/>
                <w:lang w:eastAsia="en-AU"/>
              </w:rPr>
            </w:pPr>
            <w:r w:rsidRPr="00C4739F">
              <w:rPr>
                <w:rFonts w:eastAsia="Times New Roman" w:cs="Arial"/>
                <w:color w:val="595A5B" w:themeColor="text2"/>
                <w:sz w:val="18"/>
                <w:szCs w:val="18"/>
                <w:lang w:eastAsia="en-AU"/>
              </w:rPr>
              <w:t>PJ</w:t>
            </w:r>
          </w:p>
        </w:tc>
        <w:tc>
          <w:tcPr>
            <w:tcW w:w="1417" w:type="dxa"/>
            <w:tcBorders>
              <w:top w:val="nil"/>
              <w:left w:val="nil"/>
              <w:bottom w:val="nil"/>
              <w:right w:val="nil"/>
            </w:tcBorders>
            <w:shd w:val="clear" w:color="000000" w:fill="CAE7F3"/>
            <w:noWrap/>
            <w:vAlign w:val="center"/>
            <w:hideMark/>
          </w:tcPr>
          <w:p w14:paraId="4F7579AC" w14:textId="77777777" w:rsidR="00BC078B" w:rsidRPr="00C4739F" w:rsidRDefault="00BC078B" w:rsidP="00865D28">
            <w:pPr>
              <w:spacing w:after="0" w:line="240" w:lineRule="auto"/>
              <w:ind w:left="0"/>
              <w:jc w:val="right"/>
              <w:rPr>
                <w:rFonts w:eastAsia="Times New Roman" w:cs="Arial"/>
                <w:sz w:val="18"/>
                <w:szCs w:val="18"/>
                <w:lang w:eastAsia="en-AU"/>
              </w:rPr>
            </w:pPr>
            <w:r w:rsidRPr="00C4739F">
              <w:rPr>
                <w:rFonts w:eastAsia="Times New Roman" w:cs="Arial"/>
                <w:color w:val="595A5B" w:themeColor="text2"/>
                <w:sz w:val="18"/>
                <w:szCs w:val="18"/>
                <w:lang w:eastAsia="en-AU"/>
              </w:rPr>
              <w:t>share</w:t>
            </w:r>
          </w:p>
        </w:tc>
        <w:tc>
          <w:tcPr>
            <w:tcW w:w="284" w:type="dxa"/>
            <w:vMerge w:val="restart"/>
            <w:tcBorders>
              <w:top w:val="nil"/>
              <w:left w:val="nil"/>
              <w:bottom w:val="nil"/>
              <w:right w:val="nil"/>
            </w:tcBorders>
            <w:shd w:val="clear" w:color="000000" w:fill="CAE7F3"/>
            <w:noWrap/>
            <w:vAlign w:val="bottom"/>
            <w:hideMark/>
          </w:tcPr>
          <w:p w14:paraId="68C99313" w14:textId="77777777" w:rsidR="00BC078B" w:rsidRPr="00FB0286" w:rsidRDefault="00BC078B" w:rsidP="00865D28">
            <w:pPr>
              <w:spacing w:after="0" w:line="240" w:lineRule="auto"/>
              <w:ind w:left="0"/>
              <w:jc w:val="left"/>
              <w:rPr>
                <w:rFonts w:eastAsia="Times New Roman" w:cs="Arial"/>
                <w:color w:val="000000"/>
                <w:sz w:val="18"/>
                <w:szCs w:val="18"/>
                <w:lang w:eastAsia="en-AU"/>
              </w:rPr>
            </w:pPr>
            <w:r w:rsidRPr="00FB0286">
              <w:rPr>
                <w:rFonts w:eastAsia="Times New Roman" w:cs="Arial"/>
                <w:color w:val="000000"/>
                <w:sz w:val="18"/>
                <w:szCs w:val="18"/>
                <w:lang w:eastAsia="en-AU"/>
              </w:rPr>
              <w:t> </w:t>
            </w:r>
          </w:p>
        </w:tc>
        <w:tc>
          <w:tcPr>
            <w:tcW w:w="1276" w:type="dxa"/>
            <w:tcBorders>
              <w:top w:val="nil"/>
              <w:left w:val="nil"/>
              <w:bottom w:val="nil"/>
              <w:right w:val="nil"/>
            </w:tcBorders>
            <w:shd w:val="clear" w:color="000000" w:fill="CAE7F3"/>
            <w:vAlign w:val="center"/>
          </w:tcPr>
          <w:p w14:paraId="181C26B5" w14:textId="77777777" w:rsidR="00BC078B" w:rsidRPr="00C4739F" w:rsidRDefault="00BC078B" w:rsidP="00865D28">
            <w:pPr>
              <w:spacing w:after="0" w:line="240" w:lineRule="auto"/>
              <w:ind w:left="0"/>
              <w:jc w:val="right"/>
              <w:rPr>
                <w:rFonts w:eastAsia="Times New Roman" w:cs="Arial"/>
                <w:sz w:val="18"/>
                <w:szCs w:val="18"/>
                <w:lang w:eastAsia="en-AU"/>
              </w:rPr>
            </w:pPr>
            <w:r w:rsidRPr="00C4739F">
              <w:rPr>
                <w:rFonts w:eastAsia="Times New Roman" w:cs="Arial"/>
                <w:color w:val="595A5B" w:themeColor="text2"/>
                <w:sz w:val="18"/>
                <w:szCs w:val="18"/>
                <w:lang w:eastAsia="en-AU"/>
              </w:rPr>
              <w:t>2016–17</w:t>
            </w:r>
          </w:p>
        </w:tc>
        <w:tc>
          <w:tcPr>
            <w:tcW w:w="1134" w:type="dxa"/>
            <w:tcBorders>
              <w:top w:val="nil"/>
              <w:left w:val="nil"/>
              <w:bottom w:val="nil"/>
              <w:right w:val="nil"/>
            </w:tcBorders>
            <w:shd w:val="clear" w:color="000000" w:fill="CAE7F3"/>
            <w:noWrap/>
            <w:vAlign w:val="center"/>
            <w:hideMark/>
          </w:tcPr>
          <w:p w14:paraId="0B05A953" w14:textId="77777777" w:rsidR="00BC078B" w:rsidRPr="00C4739F" w:rsidRDefault="00BC078B" w:rsidP="00865D28">
            <w:pPr>
              <w:spacing w:after="0" w:line="240" w:lineRule="auto"/>
              <w:ind w:left="0"/>
              <w:jc w:val="right"/>
              <w:rPr>
                <w:rFonts w:eastAsia="Times New Roman" w:cs="Arial"/>
                <w:sz w:val="18"/>
                <w:szCs w:val="18"/>
                <w:lang w:eastAsia="en-AU"/>
              </w:rPr>
            </w:pPr>
            <w:r w:rsidRPr="00C4739F">
              <w:rPr>
                <w:rFonts w:eastAsia="Times New Roman" w:cs="Arial"/>
                <w:color w:val="595A5B" w:themeColor="text2"/>
                <w:sz w:val="18"/>
                <w:szCs w:val="18"/>
                <w:lang w:eastAsia="en-AU"/>
              </w:rPr>
              <w:t>10 years</w:t>
            </w:r>
          </w:p>
        </w:tc>
      </w:tr>
      <w:tr w:rsidR="00BC078B" w:rsidRPr="001F1F3C" w14:paraId="4CFF917E" w14:textId="77777777" w:rsidTr="00865D28">
        <w:trPr>
          <w:trHeight w:val="300"/>
        </w:trPr>
        <w:tc>
          <w:tcPr>
            <w:tcW w:w="1701" w:type="dxa"/>
            <w:vMerge/>
            <w:tcBorders>
              <w:top w:val="nil"/>
              <w:left w:val="nil"/>
              <w:bottom w:val="nil"/>
              <w:right w:val="nil"/>
            </w:tcBorders>
            <w:vAlign w:val="center"/>
            <w:hideMark/>
          </w:tcPr>
          <w:p w14:paraId="1D025F64" w14:textId="77777777" w:rsidR="00BC078B" w:rsidRPr="00FB0286" w:rsidRDefault="00BC078B" w:rsidP="00865D28">
            <w:pPr>
              <w:spacing w:after="0" w:line="360" w:lineRule="auto"/>
              <w:ind w:left="0"/>
              <w:jc w:val="left"/>
              <w:rPr>
                <w:rFonts w:eastAsia="Times New Roman" w:cs="Arial"/>
                <w:color w:val="000000"/>
                <w:sz w:val="18"/>
                <w:szCs w:val="18"/>
                <w:lang w:eastAsia="en-AU"/>
              </w:rPr>
            </w:pPr>
          </w:p>
        </w:tc>
        <w:tc>
          <w:tcPr>
            <w:tcW w:w="992" w:type="dxa"/>
            <w:vMerge/>
            <w:tcBorders>
              <w:top w:val="nil"/>
              <w:left w:val="nil"/>
              <w:bottom w:val="nil"/>
              <w:right w:val="nil"/>
            </w:tcBorders>
            <w:vAlign w:val="center"/>
            <w:hideMark/>
          </w:tcPr>
          <w:p w14:paraId="7F124FB9" w14:textId="77777777" w:rsidR="00BC078B" w:rsidRPr="00C4739F" w:rsidRDefault="00BC078B" w:rsidP="00865D28">
            <w:pPr>
              <w:spacing w:after="0" w:line="360" w:lineRule="auto"/>
              <w:ind w:left="0"/>
              <w:jc w:val="left"/>
              <w:rPr>
                <w:rFonts w:eastAsia="Times New Roman" w:cs="Arial"/>
                <w:sz w:val="18"/>
                <w:szCs w:val="18"/>
                <w:lang w:eastAsia="en-AU"/>
              </w:rPr>
            </w:pPr>
          </w:p>
        </w:tc>
        <w:tc>
          <w:tcPr>
            <w:tcW w:w="1417" w:type="dxa"/>
            <w:tcBorders>
              <w:top w:val="nil"/>
              <w:left w:val="nil"/>
              <w:bottom w:val="nil"/>
              <w:right w:val="nil"/>
            </w:tcBorders>
            <w:shd w:val="clear" w:color="000000" w:fill="CAE7F3"/>
            <w:noWrap/>
            <w:vAlign w:val="center"/>
            <w:hideMark/>
          </w:tcPr>
          <w:p w14:paraId="7C896896" w14:textId="77777777" w:rsidR="00BC078B" w:rsidRPr="00C4739F" w:rsidRDefault="00BC078B" w:rsidP="00865D28">
            <w:pPr>
              <w:spacing w:after="0" w:line="360" w:lineRule="auto"/>
              <w:ind w:left="0"/>
              <w:jc w:val="right"/>
              <w:rPr>
                <w:rFonts w:eastAsia="Times New Roman" w:cs="Arial"/>
                <w:sz w:val="18"/>
                <w:szCs w:val="18"/>
                <w:lang w:eastAsia="en-AU"/>
              </w:rPr>
            </w:pPr>
            <w:r w:rsidRPr="00C4739F">
              <w:rPr>
                <w:rFonts w:eastAsia="Times New Roman" w:cs="Arial"/>
                <w:sz w:val="18"/>
                <w:szCs w:val="18"/>
                <w:lang w:eastAsia="en-AU"/>
              </w:rPr>
              <w:t>(per cent)</w:t>
            </w:r>
          </w:p>
        </w:tc>
        <w:tc>
          <w:tcPr>
            <w:tcW w:w="284" w:type="dxa"/>
            <w:vMerge/>
            <w:tcBorders>
              <w:top w:val="nil"/>
              <w:left w:val="nil"/>
              <w:bottom w:val="nil"/>
              <w:right w:val="nil"/>
            </w:tcBorders>
            <w:vAlign w:val="center"/>
            <w:hideMark/>
          </w:tcPr>
          <w:p w14:paraId="3E7E306A" w14:textId="77777777" w:rsidR="00BC078B" w:rsidRPr="00FB0286" w:rsidRDefault="00BC078B" w:rsidP="00865D28">
            <w:pPr>
              <w:spacing w:after="0" w:line="360" w:lineRule="auto"/>
              <w:ind w:left="0"/>
              <w:jc w:val="left"/>
              <w:rPr>
                <w:rFonts w:eastAsia="Times New Roman" w:cs="Arial"/>
                <w:color w:val="000000"/>
                <w:sz w:val="18"/>
                <w:szCs w:val="18"/>
                <w:lang w:eastAsia="en-AU"/>
              </w:rPr>
            </w:pPr>
          </w:p>
        </w:tc>
        <w:tc>
          <w:tcPr>
            <w:tcW w:w="1276" w:type="dxa"/>
            <w:tcBorders>
              <w:top w:val="nil"/>
              <w:left w:val="nil"/>
              <w:bottom w:val="nil"/>
              <w:right w:val="nil"/>
            </w:tcBorders>
            <w:shd w:val="clear" w:color="000000" w:fill="CAE7F3"/>
            <w:vAlign w:val="center"/>
          </w:tcPr>
          <w:p w14:paraId="0A1417F8" w14:textId="77777777" w:rsidR="00BC078B" w:rsidRPr="00C4739F" w:rsidRDefault="00BC078B" w:rsidP="00865D28">
            <w:pPr>
              <w:spacing w:after="0" w:line="360" w:lineRule="auto"/>
              <w:ind w:left="0"/>
              <w:jc w:val="right"/>
              <w:rPr>
                <w:rFonts w:eastAsia="Times New Roman" w:cs="Arial"/>
                <w:sz w:val="18"/>
                <w:szCs w:val="18"/>
                <w:lang w:eastAsia="en-AU"/>
              </w:rPr>
            </w:pPr>
            <w:r w:rsidRPr="00C4739F">
              <w:rPr>
                <w:rFonts w:eastAsia="Times New Roman" w:cs="Arial"/>
                <w:sz w:val="18"/>
                <w:szCs w:val="18"/>
                <w:lang w:eastAsia="en-AU"/>
              </w:rPr>
              <w:t>(per cent)</w:t>
            </w:r>
          </w:p>
        </w:tc>
        <w:tc>
          <w:tcPr>
            <w:tcW w:w="1134" w:type="dxa"/>
            <w:tcBorders>
              <w:top w:val="nil"/>
              <w:left w:val="nil"/>
              <w:bottom w:val="nil"/>
              <w:right w:val="nil"/>
            </w:tcBorders>
            <w:shd w:val="clear" w:color="000000" w:fill="CAE7F3"/>
            <w:noWrap/>
            <w:vAlign w:val="center"/>
            <w:hideMark/>
          </w:tcPr>
          <w:p w14:paraId="3FE8472E" w14:textId="77777777" w:rsidR="00BC078B" w:rsidRPr="00C4739F" w:rsidRDefault="00BC078B" w:rsidP="00865D28">
            <w:pPr>
              <w:spacing w:after="0" w:line="360" w:lineRule="auto"/>
              <w:ind w:left="0"/>
              <w:jc w:val="right"/>
              <w:rPr>
                <w:rFonts w:eastAsia="Times New Roman" w:cs="Arial"/>
                <w:sz w:val="18"/>
                <w:szCs w:val="18"/>
                <w:lang w:eastAsia="en-AU"/>
              </w:rPr>
            </w:pPr>
            <w:r w:rsidRPr="00C4739F">
              <w:rPr>
                <w:rFonts w:eastAsia="Times New Roman" w:cs="Arial"/>
                <w:sz w:val="18"/>
                <w:szCs w:val="18"/>
                <w:lang w:eastAsia="en-AU"/>
              </w:rPr>
              <w:t>(per cent)</w:t>
            </w:r>
          </w:p>
        </w:tc>
      </w:tr>
      <w:tr w:rsidR="000441D1" w:rsidRPr="001F1F3C" w14:paraId="7CEF3339" w14:textId="77777777" w:rsidTr="00865D28">
        <w:trPr>
          <w:trHeight w:val="300"/>
        </w:trPr>
        <w:tc>
          <w:tcPr>
            <w:tcW w:w="1701" w:type="dxa"/>
            <w:tcBorders>
              <w:top w:val="nil"/>
              <w:left w:val="nil"/>
              <w:bottom w:val="nil"/>
              <w:right w:val="nil"/>
            </w:tcBorders>
            <w:shd w:val="clear" w:color="000000" w:fill="CAE7F3"/>
            <w:noWrap/>
            <w:hideMark/>
          </w:tcPr>
          <w:p w14:paraId="037D6A31" w14:textId="0EA73683" w:rsidR="000441D1" w:rsidRPr="000441D1" w:rsidRDefault="000441D1" w:rsidP="000441D1">
            <w:pPr>
              <w:spacing w:after="0" w:line="360" w:lineRule="auto"/>
              <w:ind w:left="0"/>
              <w:jc w:val="left"/>
              <w:rPr>
                <w:rFonts w:eastAsia="Times New Roman" w:cs="Arial"/>
                <w:sz w:val="18"/>
                <w:szCs w:val="18"/>
                <w:lang w:eastAsia="en-AU"/>
              </w:rPr>
            </w:pPr>
            <w:r w:rsidRPr="000441D1">
              <w:rPr>
                <w:sz w:val="18"/>
                <w:szCs w:val="18"/>
              </w:rPr>
              <w:t>Coal</w:t>
            </w:r>
          </w:p>
        </w:tc>
        <w:tc>
          <w:tcPr>
            <w:tcW w:w="992" w:type="dxa"/>
            <w:tcBorders>
              <w:top w:val="nil"/>
              <w:left w:val="nil"/>
              <w:bottom w:val="nil"/>
              <w:right w:val="nil"/>
            </w:tcBorders>
            <w:shd w:val="clear" w:color="000000" w:fill="CAE7F3"/>
            <w:noWrap/>
          </w:tcPr>
          <w:p w14:paraId="7D5F7DFD" w14:textId="301143FC"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121.3</w:t>
            </w:r>
          </w:p>
        </w:tc>
        <w:tc>
          <w:tcPr>
            <w:tcW w:w="1417" w:type="dxa"/>
            <w:tcBorders>
              <w:top w:val="nil"/>
              <w:left w:val="nil"/>
              <w:bottom w:val="nil"/>
              <w:right w:val="nil"/>
            </w:tcBorders>
            <w:shd w:val="clear" w:color="000000" w:fill="CAE7F3"/>
            <w:noWrap/>
          </w:tcPr>
          <w:p w14:paraId="537148D9" w14:textId="78E2A1DC"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2.9</w:t>
            </w:r>
          </w:p>
        </w:tc>
        <w:tc>
          <w:tcPr>
            <w:tcW w:w="284" w:type="dxa"/>
            <w:tcBorders>
              <w:top w:val="nil"/>
              <w:left w:val="nil"/>
              <w:bottom w:val="nil"/>
              <w:right w:val="nil"/>
            </w:tcBorders>
            <w:shd w:val="clear" w:color="000000" w:fill="CAE7F3"/>
            <w:noWrap/>
          </w:tcPr>
          <w:p w14:paraId="3C048313" w14:textId="77777777" w:rsidR="000441D1" w:rsidRPr="000441D1" w:rsidRDefault="000441D1" w:rsidP="000441D1">
            <w:pPr>
              <w:spacing w:after="0" w:line="360" w:lineRule="auto"/>
              <w:ind w:left="0"/>
              <w:jc w:val="right"/>
              <w:rPr>
                <w:rFonts w:eastAsia="Times New Roman" w:cs="Arial"/>
                <w:sz w:val="18"/>
                <w:szCs w:val="18"/>
                <w:lang w:eastAsia="en-AU"/>
              </w:rPr>
            </w:pPr>
          </w:p>
        </w:tc>
        <w:tc>
          <w:tcPr>
            <w:tcW w:w="1276" w:type="dxa"/>
            <w:tcBorders>
              <w:top w:val="nil"/>
              <w:left w:val="nil"/>
              <w:bottom w:val="nil"/>
              <w:right w:val="nil"/>
            </w:tcBorders>
            <w:shd w:val="clear" w:color="000000" w:fill="CAE7F3"/>
          </w:tcPr>
          <w:p w14:paraId="14254C5E" w14:textId="28003756"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5.8</w:t>
            </w:r>
          </w:p>
        </w:tc>
        <w:tc>
          <w:tcPr>
            <w:tcW w:w="1134" w:type="dxa"/>
            <w:tcBorders>
              <w:top w:val="nil"/>
              <w:left w:val="nil"/>
              <w:bottom w:val="nil"/>
              <w:right w:val="nil"/>
            </w:tcBorders>
            <w:shd w:val="clear" w:color="000000" w:fill="CAE7F3"/>
            <w:noWrap/>
          </w:tcPr>
          <w:p w14:paraId="75EF6B2A" w14:textId="5C0A9428"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-3.7</w:t>
            </w:r>
          </w:p>
        </w:tc>
      </w:tr>
      <w:tr w:rsidR="000441D1" w:rsidRPr="001F1F3C" w14:paraId="25DA355E" w14:textId="77777777" w:rsidTr="00865D28">
        <w:trPr>
          <w:trHeight w:val="240"/>
        </w:trPr>
        <w:tc>
          <w:tcPr>
            <w:tcW w:w="1701" w:type="dxa"/>
            <w:tcBorders>
              <w:top w:val="nil"/>
              <w:left w:val="nil"/>
              <w:bottom w:val="nil"/>
              <w:right w:val="nil"/>
            </w:tcBorders>
            <w:shd w:val="clear" w:color="000000" w:fill="CAE7F3"/>
            <w:noWrap/>
            <w:hideMark/>
          </w:tcPr>
          <w:p w14:paraId="7F8D1368" w14:textId="35A8A9A8" w:rsidR="000441D1" w:rsidRPr="000441D1" w:rsidRDefault="000441D1" w:rsidP="00081F0D">
            <w:pPr>
              <w:spacing w:after="0" w:line="360" w:lineRule="auto"/>
              <w:ind w:left="0"/>
              <w:jc w:val="left"/>
              <w:rPr>
                <w:rFonts w:eastAsia="Times New Roman" w:cs="Arial"/>
                <w:sz w:val="18"/>
                <w:szCs w:val="18"/>
                <w:lang w:eastAsia="en-AU"/>
              </w:rPr>
            </w:pPr>
            <w:r w:rsidRPr="000441D1">
              <w:rPr>
                <w:sz w:val="18"/>
                <w:szCs w:val="18"/>
              </w:rPr>
              <w:t xml:space="preserve">Refined </w:t>
            </w:r>
            <w:r w:rsidR="00081F0D">
              <w:rPr>
                <w:sz w:val="18"/>
                <w:szCs w:val="18"/>
              </w:rPr>
              <w:t>p</w:t>
            </w:r>
            <w:r w:rsidRPr="000441D1">
              <w:rPr>
                <w:sz w:val="18"/>
                <w:szCs w:val="18"/>
              </w:rPr>
              <w:t>roducts</w:t>
            </w:r>
          </w:p>
        </w:tc>
        <w:tc>
          <w:tcPr>
            <w:tcW w:w="992" w:type="dxa"/>
            <w:tcBorders>
              <w:top w:val="nil"/>
              <w:left w:val="nil"/>
              <w:bottom w:val="nil"/>
              <w:right w:val="nil"/>
            </w:tcBorders>
            <w:shd w:val="clear" w:color="000000" w:fill="CAE7F3"/>
            <w:noWrap/>
          </w:tcPr>
          <w:p w14:paraId="622E66CE" w14:textId="3AFE3CF8"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2</w:t>
            </w:r>
            <w:r w:rsidR="0033249C">
              <w:rPr>
                <w:sz w:val="18"/>
                <w:szCs w:val="18"/>
              </w:rPr>
              <w:t>,</w:t>
            </w:r>
            <w:r w:rsidRPr="000441D1">
              <w:rPr>
                <w:sz w:val="18"/>
                <w:szCs w:val="18"/>
              </w:rPr>
              <w:t>197.0</w:t>
            </w:r>
          </w:p>
        </w:tc>
        <w:tc>
          <w:tcPr>
            <w:tcW w:w="1417" w:type="dxa"/>
            <w:tcBorders>
              <w:top w:val="nil"/>
              <w:left w:val="nil"/>
              <w:bottom w:val="nil"/>
              <w:right w:val="nil"/>
            </w:tcBorders>
            <w:shd w:val="clear" w:color="000000" w:fill="CAE7F3"/>
            <w:noWrap/>
          </w:tcPr>
          <w:p w14:paraId="292AC793" w14:textId="422E501C"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51.7</w:t>
            </w:r>
          </w:p>
        </w:tc>
        <w:tc>
          <w:tcPr>
            <w:tcW w:w="284" w:type="dxa"/>
            <w:tcBorders>
              <w:top w:val="nil"/>
              <w:left w:val="nil"/>
              <w:bottom w:val="nil"/>
              <w:right w:val="nil"/>
            </w:tcBorders>
            <w:shd w:val="clear" w:color="000000" w:fill="CAE7F3"/>
            <w:noWrap/>
          </w:tcPr>
          <w:p w14:paraId="69372AF7" w14:textId="77777777" w:rsidR="000441D1" w:rsidRPr="000441D1" w:rsidRDefault="000441D1" w:rsidP="000441D1">
            <w:pPr>
              <w:spacing w:after="0" w:line="360" w:lineRule="auto"/>
              <w:ind w:left="0"/>
              <w:jc w:val="right"/>
              <w:rPr>
                <w:rFonts w:eastAsia="Times New Roman" w:cs="Arial"/>
                <w:sz w:val="18"/>
                <w:szCs w:val="18"/>
                <w:lang w:eastAsia="en-AU"/>
              </w:rPr>
            </w:pPr>
          </w:p>
        </w:tc>
        <w:tc>
          <w:tcPr>
            <w:tcW w:w="1276" w:type="dxa"/>
            <w:tcBorders>
              <w:top w:val="nil"/>
              <w:left w:val="nil"/>
              <w:bottom w:val="nil"/>
              <w:right w:val="nil"/>
            </w:tcBorders>
            <w:shd w:val="clear" w:color="000000" w:fill="CAE7F3"/>
          </w:tcPr>
          <w:p w14:paraId="04783A66" w14:textId="51001EEA"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2.4</w:t>
            </w:r>
          </w:p>
        </w:tc>
        <w:tc>
          <w:tcPr>
            <w:tcW w:w="1134" w:type="dxa"/>
            <w:tcBorders>
              <w:top w:val="nil"/>
              <w:left w:val="nil"/>
              <w:bottom w:val="nil"/>
              <w:right w:val="nil"/>
            </w:tcBorders>
            <w:shd w:val="clear" w:color="000000" w:fill="CAE7F3"/>
            <w:noWrap/>
          </w:tcPr>
          <w:p w14:paraId="1365076A" w14:textId="2A805BA4"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1.7</w:t>
            </w:r>
          </w:p>
        </w:tc>
      </w:tr>
      <w:tr w:rsidR="000441D1" w:rsidRPr="001F1F3C" w14:paraId="4DF0CB34" w14:textId="77777777" w:rsidTr="00865D28">
        <w:trPr>
          <w:trHeight w:val="300"/>
        </w:trPr>
        <w:tc>
          <w:tcPr>
            <w:tcW w:w="1701" w:type="dxa"/>
            <w:tcBorders>
              <w:top w:val="nil"/>
              <w:left w:val="nil"/>
              <w:bottom w:val="nil"/>
              <w:right w:val="nil"/>
            </w:tcBorders>
            <w:shd w:val="clear" w:color="000000" w:fill="CAE7F3"/>
            <w:noWrap/>
            <w:hideMark/>
          </w:tcPr>
          <w:p w14:paraId="3F3E120B" w14:textId="0FCF53BB" w:rsidR="000441D1" w:rsidRPr="000441D1" w:rsidRDefault="000441D1" w:rsidP="000441D1">
            <w:pPr>
              <w:spacing w:after="0" w:line="360" w:lineRule="auto"/>
              <w:ind w:left="0"/>
              <w:jc w:val="left"/>
              <w:rPr>
                <w:rFonts w:eastAsia="Times New Roman" w:cs="Arial"/>
                <w:sz w:val="18"/>
                <w:szCs w:val="18"/>
                <w:lang w:eastAsia="en-AU"/>
              </w:rPr>
            </w:pPr>
            <w:r w:rsidRPr="000441D1">
              <w:rPr>
                <w:sz w:val="18"/>
                <w:szCs w:val="18"/>
              </w:rPr>
              <w:t>Gas</w:t>
            </w:r>
          </w:p>
        </w:tc>
        <w:tc>
          <w:tcPr>
            <w:tcW w:w="992" w:type="dxa"/>
            <w:tcBorders>
              <w:top w:val="nil"/>
              <w:left w:val="nil"/>
              <w:bottom w:val="nil"/>
              <w:right w:val="nil"/>
            </w:tcBorders>
            <w:shd w:val="clear" w:color="000000" w:fill="CAE7F3"/>
            <w:noWrap/>
          </w:tcPr>
          <w:p w14:paraId="4B4700FE" w14:textId="0CA628E0"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910.9</w:t>
            </w:r>
          </w:p>
        </w:tc>
        <w:tc>
          <w:tcPr>
            <w:tcW w:w="1417" w:type="dxa"/>
            <w:tcBorders>
              <w:top w:val="nil"/>
              <w:left w:val="nil"/>
              <w:bottom w:val="nil"/>
              <w:right w:val="nil"/>
            </w:tcBorders>
            <w:shd w:val="clear" w:color="000000" w:fill="CAE7F3"/>
            <w:noWrap/>
          </w:tcPr>
          <w:p w14:paraId="7DFDF7AC" w14:textId="4A9E9E0A"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21.4</w:t>
            </w:r>
          </w:p>
        </w:tc>
        <w:tc>
          <w:tcPr>
            <w:tcW w:w="284" w:type="dxa"/>
            <w:tcBorders>
              <w:top w:val="nil"/>
              <w:left w:val="nil"/>
              <w:bottom w:val="nil"/>
              <w:right w:val="nil"/>
            </w:tcBorders>
            <w:shd w:val="clear" w:color="000000" w:fill="CAE7F3"/>
            <w:noWrap/>
          </w:tcPr>
          <w:p w14:paraId="131374CD" w14:textId="77777777" w:rsidR="000441D1" w:rsidRPr="000441D1" w:rsidRDefault="000441D1" w:rsidP="000441D1">
            <w:pPr>
              <w:spacing w:after="0" w:line="360" w:lineRule="auto"/>
              <w:ind w:left="0"/>
              <w:jc w:val="right"/>
              <w:rPr>
                <w:rFonts w:eastAsia="Times New Roman" w:cs="Arial"/>
                <w:sz w:val="18"/>
                <w:szCs w:val="18"/>
                <w:lang w:eastAsia="en-AU"/>
              </w:rPr>
            </w:pPr>
          </w:p>
        </w:tc>
        <w:tc>
          <w:tcPr>
            <w:tcW w:w="1276" w:type="dxa"/>
            <w:tcBorders>
              <w:top w:val="nil"/>
              <w:left w:val="nil"/>
              <w:bottom w:val="nil"/>
              <w:right w:val="nil"/>
            </w:tcBorders>
            <w:shd w:val="clear" w:color="000000" w:fill="CAE7F3"/>
          </w:tcPr>
          <w:p w14:paraId="6C74A4ED" w14:textId="255F03C0"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3.9</w:t>
            </w:r>
          </w:p>
        </w:tc>
        <w:tc>
          <w:tcPr>
            <w:tcW w:w="1134" w:type="dxa"/>
            <w:tcBorders>
              <w:top w:val="nil"/>
              <w:left w:val="nil"/>
              <w:bottom w:val="nil"/>
              <w:right w:val="nil"/>
            </w:tcBorders>
            <w:shd w:val="clear" w:color="000000" w:fill="CAE7F3"/>
            <w:noWrap/>
          </w:tcPr>
          <w:p w14:paraId="51E80ABD" w14:textId="5CAD3E91"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2.4</w:t>
            </w:r>
          </w:p>
        </w:tc>
      </w:tr>
      <w:tr w:rsidR="000441D1" w:rsidRPr="001F1F3C" w14:paraId="67B8E54A" w14:textId="77777777" w:rsidTr="00865D28">
        <w:trPr>
          <w:trHeight w:val="300"/>
        </w:trPr>
        <w:tc>
          <w:tcPr>
            <w:tcW w:w="1701" w:type="dxa"/>
            <w:tcBorders>
              <w:top w:val="nil"/>
              <w:left w:val="nil"/>
              <w:bottom w:val="nil"/>
              <w:right w:val="nil"/>
            </w:tcBorders>
            <w:shd w:val="clear" w:color="000000" w:fill="CAE7F3"/>
            <w:noWrap/>
            <w:hideMark/>
          </w:tcPr>
          <w:p w14:paraId="29B05BDD" w14:textId="3ABE1B6E" w:rsidR="000441D1" w:rsidRPr="000441D1" w:rsidRDefault="000441D1" w:rsidP="000441D1">
            <w:pPr>
              <w:spacing w:after="0" w:line="360" w:lineRule="auto"/>
              <w:ind w:left="0"/>
              <w:jc w:val="left"/>
              <w:rPr>
                <w:rFonts w:eastAsia="Times New Roman" w:cs="Arial"/>
                <w:sz w:val="18"/>
                <w:szCs w:val="18"/>
                <w:lang w:eastAsia="en-AU"/>
              </w:rPr>
            </w:pPr>
            <w:r w:rsidRPr="000441D1">
              <w:rPr>
                <w:sz w:val="18"/>
                <w:szCs w:val="18"/>
              </w:rPr>
              <w:t>Electricity</w:t>
            </w:r>
          </w:p>
        </w:tc>
        <w:tc>
          <w:tcPr>
            <w:tcW w:w="992" w:type="dxa"/>
            <w:tcBorders>
              <w:top w:val="nil"/>
              <w:left w:val="nil"/>
              <w:bottom w:val="nil"/>
              <w:right w:val="nil"/>
            </w:tcBorders>
            <w:shd w:val="clear" w:color="000000" w:fill="CAE7F3"/>
            <w:noWrap/>
          </w:tcPr>
          <w:p w14:paraId="6DC0FC2F" w14:textId="06C73C5E"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820.3</w:t>
            </w:r>
          </w:p>
        </w:tc>
        <w:tc>
          <w:tcPr>
            <w:tcW w:w="1417" w:type="dxa"/>
            <w:tcBorders>
              <w:top w:val="nil"/>
              <w:left w:val="nil"/>
              <w:bottom w:val="nil"/>
              <w:right w:val="nil"/>
            </w:tcBorders>
            <w:shd w:val="clear" w:color="000000" w:fill="CAE7F3"/>
            <w:noWrap/>
          </w:tcPr>
          <w:p w14:paraId="1F977B2E" w14:textId="1D3BD81B"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19.3</w:t>
            </w:r>
          </w:p>
        </w:tc>
        <w:tc>
          <w:tcPr>
            <w:tcW w:w="284" w:type="dxa"/>
            <w:tcBorders>
              <w:top w:val="nil"/>
              <w:left w:val="nil"/>
              <w:bottom w:val="nil"/>
              <w:right w:val="nil"/>
            </w:tcBorders>
            <w:shd w:val="clear" w:color="000000" w:fill="CAE7F3"/>
            <w:noWrap/>
          </w:tcPr>
          <w:p w14:paraId="115D60F7" w14:textId="77777777" w:rsidR="000441D1" w:rsidRPr="000441D1" w:rsidRDefault="000441D1" w:rsidP="000441D1">
            <w:pPr>
              <w:spacing w:after="0" w:line="360" w:lineRule="auto"/>
              <w:ind w:left="0"/>
              <w:jc w:val="right"/>
              <w:rPr>
                <w:rFonts w:eastAsia="Times New Roman" w:cs="Arial"/>
                <w:sz w:val="18"/>
                <w:szCs w:val="18"/>
                <w:lang w:eastAsia="en-AU"/>
              </w:rPr>
            </w:pPr>
          </w:p>
        </w:tc>
        <w:tc>
          <w:tcPr>
            <w:tcW w:w="1276" w:type="dxa"/>
            <w:tcBorders>
              <w:top w:val="nil"/>
              <w:left w:val="nil"/>
              <w:bottom w:val="nil"/>
              <w:right w:val="nil"/>
            </w:tcBorders>
            <w:shd w:val="clear" w:color="000000" w:fill="CAE7F3"/>
          </w:tcPr>
          <w:p w14:paraId="465DA19F" w14:textId="3B96482B"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0.1</w:t>
            </w:r>
          </w:p>
        </w:tc>
        <w:tc>
          <w:tcPr>
            <w:tcW w:w="1134" w:type="dxa"/>
            <w:tcBorders>
              <w:top w:val="nil"/>
              <w:left w:val="nil"/>
              <w:bottom w:val="nil"/>
              <w:right w:val="nil"/>
            </w:tcBorders>
            <w:shd w:val="clear" w:color="000000" w:fill="CAE7F3"/>
            <w:noWrap/>
          </w:tcPr>
          <w:p w14:paraId="110E2BF4" w14:textId="4218CB29"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0.9</w:t>
            </w:r>
          </w:p>
        </w:tc>
      </w:tr>
      <w:tr w:rsidR="000441D1" w:rsidRPr="001F1F3C" w14:paraId="47F7A7A3" w14:textId="77777777" w:rsidTr="00865D28">
        <w:trPr>
          <w:trHeight w:val="300"/>
        </w:trPr>
        <w:tc>
          <w:tcPr>
            <w:tcW w:w="1701" w:type="dxa"/>
            <w:tcBorders>
              <w:top w:val="nil"/>
              <w:left w:val="nil"/>
              <w:bottom w:val="nil"/>
              <w:right w:val="nil"/>
            </w:tcBorders>
            <w:shd w:val="clear" w:color="000000" w:fill="CAE7F3"/>
            <w:noWrap/>
            <w:hideMark/>
          </w:tcPr>
          <w:p w14:paraId="3B4123D2" w14:textId="051BA3C8" w:rsidR="000441D1" w:rsidRPr="000441D1" w:rsidRDefault="000441D1" w:rsidP="000441D1">
            <w:pPr>
              <w:spacing w:after="0" w:line="360" w:lineRule="auto"/>
              <w:ind w:left="0"/>
              <w:jc w:val="left"/>
              <w:rPr>
                <w:rFonts w:eastAsia="Times New Roman" w:cs="Arial"/>
                <w:sz w:val="18"/>
                <w:szCs w:val="18"/>
                <w:lang w:eastAsia="en-AU"/>
              </w:rPr>
            </w:pPr>
            <w:r w:rsidRPr="000441D1">
              <w:rPr>
                <w:sz w:val="18"/>
                <w:szCs w:val="18"/>
              </w:rPr>
              <w:t>Renewables</w:t>
            </w:r>
          </w:p>
        </w:tc>
        <w:tc>
          <w:tcPr>
            <w:tcW w:w="992" w:type="dxa"/>
            <w:tcBorders>
              <w:top w:val="nil"/>
              <w:left w:val="nil"/>
              <w:bottom w:val="nil"/>
              <w:right w:val="nil"/>
            </w:tcBorders>
            <w:shd w:val="clear" w:color="000000" w:fill="CAE7F3"/>
            <w:noWrap/>
          </w:tcPr>
          <w:p w14:paraId="4D080442" w14:textId="6B13E73A"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197.8</w:t>
            </w:r>
          </w:p>
        </w:tc>
        <w:tc>
          <w:tcPr>
            <w:tcW w:w="1417" w:type="dxa"/>
            <w:tcBorders>
              <w:top w:val="nil"/>
              <w:left w:val="nil"/>
              <w:bottom w:val="nil"/>
              <w:right w:val="nil"/>
            </w:tcBorders>
            <w:shd w:val="clear" w:color="000000" w:fill="CAE7F3"/>
            <w:noWrap/>
          </w:tcPr>
          <w:p w14:paraId="47983111" w14:textId="42D52FF1"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4.7</w:t>
            </w:r>
          </w:p>
        </w:tc>
        <w:tc>
          <w:tcPr>
            <w:tcW w:w="284" w:type="dxa"/>
            <w:tcBorders>
              <w:top w:val="nil"/>
              <w:left w:val="nil"/>
              <w:bottom w:val="nil"/>
              <w:right w:val="nil"/>
            </w:tcBorders>
            <w:shd w:val="clear" w:color="000000" w:fill="CAE7F3"/>
            <w:noWrap/>
          </w:tcPr>
          <w:p w14:paraId="349F31E4" w14:textId="77777777" w:rsidR="000441D1" w:rsidRPr="000441D1" w:rsidRDefault="000441D1" w:rsidP="000441D1">
            <w:pPr>
              <w:spacing w:after="0" w:line="360" w:lineRule="auto"/>
              <w:ind w:left="0"/>
              <w:jc w:val="right"/>
              <w:rPr>
                <w:rFonts w:eastAsia="Times New Roman" w:cs="Arial"/>
                <w:sz w:val="18"/>
                <w:szCs w:val="18"/>
                <w:lang w:eastAsia="en-AU"/>
              </w:rPr>
            </w:pPr>
          </w:p>
        </w:tc>
        <w:tc>
          <w:tcPr>
            <w:tcW w:w="1276" w:type="dxa"/>
            <w:tcBorders>
              <w:top w:val="nil"/>
              <w:left w:val="nil"/>
              <w:bottom w:val="nil"/>
              <w:right w:val="nil"/>
            </w:tcBorders>
            <w:shd w:val="clear" w:color="000000" w:fill="CAE7F3"/>
          </w:tcPr>
          <w:p w14:paraId="5A49D410" w14:textId="2EA47000"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5.1</w:t>
            </w:r>
          </w:p>
        </w:tc>
        <w:tc>
          <w:tcPr>
            <w:tcW w:w="1134" w:type="dxa"/>
            <w:tcBorders>
              <w:top w:val="nil"/>
              <w:left w:val="nil"/>
              <w:bottom w:val="nil"/>
              <w:right w:val="nil"/>
            </w:tcBorders>
            <w:shd w:val="clear" w:color="000000" w:fill="CAE7F3"/>
            <w:noWrap/>
          </w:tcPr>
          <w:p w14:paraId="5D595AA7" w14:textId="6CC88F8D" w:rsidR="000441D1" w:rsidRPr="000441D1" w:rsidRDefault="000441D1" w:rsidP="000441D1">
            <w:pPr>
              <w:spacing w:after="0" w:line="360" w:lineRule="auto"/>
              <w:ind w:left="0"/>
              <w:jc w:val="right"/>
              <w:rPr>
                <w:rFonts w:eastAsia="Times New Roman" w:cs="Arial"/>
                <w:sz w:val="18"/>
                <w:szCs w:val="18"/>
                <w:lang w:eastAsia="en-AU"/>
              </w:rPr>
            </w:pPr>
            <w:r w:rsidRPr="000441D1">
              <w:rPr>
                <w:sz w:val="18"/>
                <w:szCs w:val="18"/>
              </w:rPr>
              <w:t>3.8</w:t>
            </w:r>
          </w:p>
        </w:tc>
      </w:tr>
      <w:tr w:rsidR="000441D1" w:rsidRPr="001F1F3C" w14:paraId="618A4AD6" w14:textId="77777777" w:rsidTr="00865D28">
        <w:trPr>
          <w:trHeight w:val="300"/>
        </w:trPr>
        <w:tc>
          <w:tcPr>
            <w:tcW w:w="1701" w:type="dxa"/>
            <w:tcBorders>
              <w:top w:val="nil"/>
              <w:left w:val="nil"/>
              <w:bottom w:val="nil"/>
              <w:right w:val="nil"/>
            </w:tcBorders>
            <w:shd w:val="clear" w:color="000000" w:fill="CAE7F3"/>
            <w:noWrap/>
            <w:hideMark/>
          </w:tcPr>
          <w:p w14:paraId="02E6F26F" w14:textId="47440FF0" w:rsidR="000441D1" w:rsidRPr="000441D1" w:rsidRDefault="000441D1" w:rsidP="000441D1">
            <w:pPr>
              <w:spacing w:after="0" w:line="360" w:lineRule="auto"/>
              <w:ind w:left="0"/>
              <w:jc w:val="left"/>
              <w:rPr>
                <w:rFonts w:eastAsia="Times New Roman" w:cs="Arial"/>
                <w:b/>
                <w:bCs/>
                <w:sz w:val="18"/>
                <w:szCs w:val="18"/>
                <w:lang w:eastAsia="en-AU"/>
              </w:rPr>
            </w:pPr>
            <w:r w:rsidRPr="000441D1">
              <w:rPr>
                <w:b/>
                <w:sz w:val="18"/>
                <w:szCs w:val="18"/>
              </w:rPr>
              <w:t>Total</w:t>
            </w:r>
          </w:p>
        </w:tc>
        <w:tc>
          <w:tcPr>
            <w:tcW w:w="992" w:type="dxa"/>
            <w:tcBorders>
              <w:top w:val="nil"/>
              <w:left w:val="nil"/>
              <w:bottom w:val="nil"/>
              <w:right w:val="nil"/>
            </w:tcBorders>
            <w:shd w:val="clear" w:color="000000" w:fill="CAE7F3"/>
            <w:noWrap/>
            <w:hideMark/>
          </w:tcPr>
          <w:p w14:paraId="70EF341C" w14:textId="4675BA0E" w:rsidR="000441D1" w:rsidRPr="000441D1" w:rsidRDefault="000441D1" w:rsidP="000441D1">
            <w:pPr>
              <w:spacing w:after="0" w:line="360" w:lineRule="auto"/>
              <w:ind w:left="0"/>
              <w:jc w:val="right"/>
              <w:rPr>
                <w:rFonts w:eastAsia="Times New Roman" w:cs="Arial"/>
                <w:b/>
                <w:sz w:val="18"/>
                <w:szCs w:val="18"/>
                <w:lang w:eastAsia="en-AU"/>
              </w:rPr>
            </w:pPr>
            <w:r w:rsidRPr="000441D1">
              <w:rPr>
                <w:b/>
                <w:sz w:val="18"/>
                <w:szCs w:val="18"/>
              </w:rPr>
              <w:t>4</w:t>
            </w:r>
            <w:r w:rsidR="0033249C">
              <w:rPr>
                <w:b/>
                <w:sz w:val="18"/>
                <w:szCs w:val="18"/>
              </w:rPr>
              <w:t>,</w:t>
            </w:r>
            <w:r w:rsidRPr="000441D1">
              <w:rPr>
                <w:b/>
                <w:sz w:val="18"/>
                <w:szCs w:val="18"/>
              </w:rPr>
              <w:t>247.2</w:t>
            </w:r>
          </w:p>
        </w:tc>
        <w:tc>
          <w:tcPr>
            <w:tcW w:w="1417" w:type="dxa"/>
            <w:tcBorders>
              <w:top w:val="nil"/>
              <w:left w:val="nil"/>
              <w:bottom w:val="nil"/>
              <w:right w:val="nil"/>
            </w:tcBorders>
            <w:shd w:val="clear" w:color="000000" w:fill="CAE7F3"/>
            <w:noWrap/>
            <w:hideMark/>
          </w:tcPr>
          <w:p w14:paraId="23AF0153" w14:textId="144D4D81" w:rsidR="000441D1" w:rsidRPr="000441D1" w:rsidRDefault="000441D1" w:rsidP="000441D1">
            <w:pPr>
              <w:spacing w:after="0" w:line="360" w:lineRule="auto"/>
              <w:ind w:left="0"/>
              <w:jc w:val="right"/>
              <w:rPr>
                <w:rFonts w:eastAsia="Times New Roman" w:cs="Arial"/>
                <w:b/>
                <w:sz w:val="18"/>
                <w:szCs w:val="18"/>
                <w:lang w:eastAsia="en-AU"/>
              </w:rPr>
            </w:pPr>
            <w:r w:rsidRPr="000441D1">
              <w:rPr>
                <w:b/>
                <w:sz w:val="18"/>
                <w:szCs w:val="18"/>
              </w:rPr>
              <w:t>100.0</w:t>
            </w:r>
          </w:p>
        </w:tc>
        <w:tc>
          <w:tcPr>
            <w:tcW w:w="284" w:type="dxa"/>
            <w:tcBorders>
              <w:top w:val="nil"/>
              <w:left w:val="nil"/>
              <w:bottom w:val="nil"/>
              <w:right w:val="nil"/>
            </w:tcBorders>
            <w:shd w:val="clear" w:color="000000" w:fill="CAE7F3"/>
            <w:noWrap/>
            <w:hideMark/>
          </w:tcPr>
          <w:p w14:paraId="0BD28DF8" w14:textId="77777777" w:rsidR="000441D1" w:rsidRPr="000441D1" w:rsidRDefault="000441D1" w:rsidP="000441D1">
            <w:pPr>
              <w:spacing w:after="0" w:line="360" w:lineRule="auto"/>
              <w:ind w:left="0"/>
              <w:jc w:val="right"/>
              <w:rPr>
                <w:rFonts w:eastAsia="Times New Roman" w:cs="Arial"/>
                <w:b/>
                <w:sz w:val="18"/>
                <w:szCs w:val="18"/>
                <w:lang w:eastAsia="en-AU"/>
              </w:rPr>
            </w:pPr>
          </w:p>
        </w:tc>
        <w:tc>
          <w:tcPr>
            <w:tcW w:w="1276" w:type="dxa"/>
            <w:tcBorders>
              <w:top w:val="nil"/>
              <w:left w:val="nil"/>
              <w:bottom w:val="nil"/>
              <w:right w:val="nil"/>
            </w:tcBorders>
            <w:shd w:val="clear" w:color="000000" w:fill="CAE7F3"/>
          </w:tcPr>
          <w:p w14:paraId="279D1B24" w14:textId="2BE49EE0" w:rsidR="000441D1" w:rsidRPr="000441D1" w:rsidRDefault="000441D1" w:rsidP="000441D1">
            <w:pPr>
              <w:spacing w:after="0" w:line="360" w:lineRule="auto"/>
              <w:ind w:left="0"/>
              <w:jc w:val="right"/>
              <w:rPr>
                <w:rFonts w:eastAsia="Times New Roman" w:cs="Arial"/>
                <w:b/>
                <w:sz w:val="18"/>
                <w:szCs w:val="18"/>
                <w:lang w:eastAsia="en-AU"/>
              </w:rPr>
            </w:pPr>
            <w:r w:rsidRPr="000441D1">
              <w:rPr>
                <w:b/>
                <w:sz w:val="18"/>
                <w:szCs w:val="18"/>
              </w:rPr>
              <w:t>2.5</w:t>
            </w:r>
          </w:p>
        </w:tc>
        <w:tc>
          <w:tcPr>
            <w:tcW w:w="1134" w:type="dxa"/>
            <w:tcBorders>
              <w:top w:val="nil"/>
              <w:left w:val="nil"/>
              <w:bottom w:val="nil"/>
              <w:right w:val="nil"/>
            </w:tcBorders>
            <w:shd w:val="clear" w:color="000000" w:fill="CAE7F3"/>
            <w:noWrap/>
            <w:hideMark/>
          </w:tcPr>
          <w:p w14:paraId="512708D2" w14:textId="7CEC1FD3" w:rsidR="000441D1" w:rsidRPr="000441D1" w:rsidRDefault="000441D1" w:rsidP="000441D1">
            <w:pPr>
              <w:spacing w:after="0" w:line="360" w:lineRule="auto"/>
              <w:ind w:left="0"/>
              <w:jc w:val="right"/>
              <w:rPr>
                <w:rFonts w:eastAsia="Times New Roman" w:cs="Arial"/>
                <w:b/>
                <w:sz w:val="18"/>
                <w:szCs w:val="18"/>
                <w:lang w:eastAsia="en-AU"/>
              </w:rPr>
            </w:pPr>
            <w:r w:rsidRPr="000441D1">
              <w:rPr>
                <w:b/>
                <w:sz w:val="18"/>
                <w:szCs w:val="18"/>
              </w:rPr>
              <w:t>1.6</w:t>
            </w:r>
          </w:p>
        </w:tc>
      </w:tr>
    </w:tbl>
    <w:p w14:paraId="1165D8D3" w14:textId="40DBB36F" w:rsidR="00BC078B" w:rsidRPr="001F1F3C" w:rsidRDefault="00BC078B" w:rsidP="00BC078B">
      <w:pPr>
        <w:pStyle w:val="Note"/>
        <w:rPr>
          <w:color w:val="595A5B" w:themeColor="text2"/>
        </w:rPr>
      </w:pPr>
      <w:r w:rsidRPr="001F1F3C">
        <w:rPr>
          <w:color w:val="595A5B" w:themeColor="text2"/>
        </w:rPr>
        <w:t xml:space="preserve">Notes: </w:t>
      </w:r>
      <w:r w:rsidR="005E5469">
        <w:rPr>
          <w:color w:val="595A5B" w:themeColor="text2"/>
        </w:rPr>
        <w:t>E</w:t>
      </w:r>
      <w:r>
        <w:rPr>
          <w:color w:val="595A5B" w:themeColor="text2"/>
        </w:rPr>
        <w:t>xcludes fuels used for electricity generation and other conversion.</w:t>
      </w:r>
    </w:p>
    <w:p w14:paraId="0B3BCB68" w14:textId="77777777" w:rsidR="00BC078B" w:rsidRDefault="00BC078B" w:rsidP="00BC078B">
      <w:pPr>
        <w:pStyle w:val="Source"/>
        <w:rPr>
          <w:color w:val="595A5B" w:themeColor="text2"/>
        </w:rPr>
      </w:pPr>
      <w:r w:rsidRPr="001F1F3C">
        <w:rPr>
          <w:color w:val="595A5B" w:themeColor="text2"/>
        </w:rPr>
        <w:t xml:space="preserve">Source: </w:t>
      </w:r>
      <w:r w:rsidRPr="001F1F3C">
        <w:rPr>
          <w:color w:val="595A5B" w:themeColor="text2"/>
          <w:szCs w:val="16"/>
        </w:rPr>
        <w:t>Department of the Environment and Energy (2018</w:t>
      </w:r>
      <w:r w:rsidRPr="001F1F3C">
        <w:rPr>
          <w:color w:val="595A5B" w:themeColor="text2"/>
        </w:rPr>
        <w:t xml:space="preserve">) </w:t>
      </w:r>
      <w:r w:rsidRPr="001F1F3C">
        <w:rPr>
          <w:i/>
          <w:color w:val="595A5B" w:themeColor="text2"/>
        </w:rPr>
        <w:t>Australian Energy Statistics</w:t>
      </w:r>
      <w:r w:rsidRPr="001F1F3C">
        <w:rPr>
          <w:color w:val="595A5B" w:themeColor="text2"/>
        </w:rPr>
        <w:t xml:space="preserve">, </w:t>
      </w:r>
      <w:r w:rsidRPr="001F1F3C">
        <w:rPr>
          <w:color w:val="595A5B" w:themeColor="text2"/>
        </w:rPr>
        <w:br/>
        <w:t>Table H</w:t>
      </w:r>
    </w:p>
    <w:p w14:paraId="36D3421C" w14:textId="710BFC3D" w:rsidR="001F4600" w:rsidRPr="001F1F3C" w:rsidRDefault="00C1400E" w:rsidP="00BC078B">
      <w:pPr>
        <w:pStyle w:val="Caption"/>
      </w:pPr>
      <w:bookmarkStart w:id="92" w:name="_Toc427790835"/>
      <w:bookmarkStart w:id="93" w:name="_Toc461142062"/>
      <w:bookmarkStart w:id="94" w:name="_Toc522199776"/>
      <w:bookmarkStart w:id="95" w:name="_Toc522635720"/>
      <w:r>
        <w:lastRenderedPageBreak/>
        <w:t xml:space="preserve">Table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t>.</w:t>
      </w:r>
      <w:r w:rsidR="00941B67">
        <w:rPr>
          <w:noProof/>
        </w:rPr>
        <w:fldChar w:fldCharType="begin"/>
      </w:r>
      <w:r w:rsidR="00941B67">
        <w:rPr>
          <w:noProof/>
        </w:rPr>
        <w:instrText xml:space="preserve"> SEQ Table \* ARABIC \s 1 </w:instrText>
      </w:r>
      <w:r w:rsidR="00941B67">
        <w:rPr>
          <w:noProof/>
        </w:rPr>
        <w:fldChar w:fldCharType="separate"/>
      </w:r>
      <w:r w:rsidR="00D72ABB">
        <w:rPr>
          <w:noProof/>
        </w:rPr>
        <w:t>8</w:t>
      </w:r>
      <w:r w:rsidR="00941B67">
        <w:rPr>
          <w:noProof/>
        </w:rPr>
        <w:fldChar w:fldCharType="end"/>
      </w:r>
      <w:r>
        <w:t xml:space="preserve">: </w:t>
      </w:r>
      <w:r w:rsidR="001F4600" w:rsidRPr="001F1F3C">
        <w:t>Australian total final energy consumption, by industry</w:t>
      </w:r>
      <w:bookmarkEnd w:id="92"/>
      <w:bookmarkEnd w:id="93"/>
      <w:bookmarkEnd w:id="94"/>
      <w:bookmarkEnd w:id="95"/>
    </w:p>
    <w:tbl>
      <w:tblPr>
        <w:tblW w:w="6804" w:type="dxa"/>
        <w:tblLook w:val="04A0" w:firstRow="1" w:lastRow="0" w:firstColumn="1" w:lastColumn="0" w:noHBand="0" w:noVBand="1"/>
      </w:tblPr>
      <w:tblGrid>
        <w:gridCol w:w="1560"/>
        <w:gridCol w:w="992"/>
        <w:gridCol w:w="1417"/>
        <w:gridCol w:w="284"/>
        <w:gridCol w:w="1417"/>
        <w:gridCol w:w="1134"/>
      </w:tblGrid>
      <w:tr w:rsidR="009514D7" w:rsidRPr="001F1F3C" w14:paraId="6BF9B131" w14:textId="77777777" w:rsidTr="009514D7">
        <w:trPr>
          <w:trHeight w:val="300"/>
        </w:trPr>
        <w:tc>
          <w:tcPr>
            <w:tcW w:w="1560" w:type="dxa"/>
            <w:tcBorders>
              <w:top w:val="nil"/>
              <w:left w:val="nil"/>
              <w:bottom w:val="nil"/>
              <w:right w:val="nil"/>
            </w:tcBorders>
            <w:shd w:val="clear" w:color="000000" w:fill="22789A"/>
            <w:noWrap/>
            <w:vAlign w:val="bottom"/>
            <w:hideMark/>
          </w:tcPr>
          <w:p w14:paraId="619C0569" w14:textId="77777777" w:rsidR="009514D7" w:rsidRPr="001F1F3C" w:rsidRDefault="009514D7" w:rsidP="009514D7">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409" w:type="dxa"/>
            <w:gridSpan w:val="2"/>
            <w:tcBorders>
              <w:top w:val="nil"/>
              <w:left w:val="nil"/>
              <w:bottom w:val="nil"/>
              <w:right w:val="nil"/>
            </w:tcBorders>
            <w:shd w:val="clear" w:color="000000" w:fill="22789A"/>
            <w:noWrap/>
            <w:vAlign w:val="center"/>
            <w:hideMark/>
          </w:tcPr>
          <w:p w14:paraId="398873CC" w14:textId="784AAF6A" w:rsidR="009514D7" w:rsidRPr="001F1F3C" w:rsidRDefault="003F2CCE" w:rsidP="009514D7">
            <w:pPr>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2016–17</w:t>
            </w:r>
          </w:p>
        </w:tc>
        <w:tc>
          <w:tcPr>
            <w:tcW w:w="284" w:type="dxa"/>
            <w:tcBorders>
              <w:top w:val="nil"/>
              <w:left w:val="nil"/>
              <w:bottom w:val="nil"/>
              <w:right w:val="nil"/>
            </w:tcBorders>
            <w:shd w:val="clear" w:color="000000" w:fill="22789A"/>
            <w:noWrap/>
            <w:vAlign w:val="bottom"/>
            <w:hideMark/>
          </w:tcPr>
          <w:p w14:paraId="42CF2D1B" w14:textId="77777777" w:rsidR="009514D7" w:rsidRPr="001F1F3C" w:rsidRDefault="009514D7" w:rsidP="009514D7">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551" w:type="dxa"/>
            <w:gridSpan w:val="2"/>
            <w:tcBorders>
              <w:top w:val="nil"/>
              <w:left w:val="nil"/>
              <w:bottom w:val="nil"/>
              <w:right w:val="nil"/>
            </w:tcBorders>
            <w:shd w:val="clear" w:color="000000" w:fill="22789A"/>
            <w:noWrap/>
            <w:vAlign w:val="center"/>
            <w:hideMark/>
          </w:tcPr>
          <w:p w14:paraId="2102300A" w14:textId="77777777" w:rsidR="009514D7" w:rsidRPr="001F1F3C" w:rsidRDefault="009514D7" w:rsidP="009514D7">
            <w:pPr>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Average annual growth</w:t>
            </w:r>
          </w:p>
        </w:tc>
      </w:tr>
      <w:tr w:rsidR="009514D7" w:rsidRPr="001F1F3C" w14:paraId="790FB60E" w14:textId="77777777" w:rsidTr="009514D7">
        <w:trPr>
          <w:trHeight w:val="240"/>
        </w:trPr>
        <w:tc>
          <w:tcPr>
            <w:tcW w:w="1560" w:type="dxa"/>
            <w:vMerge w:val="restart"/>
            <w:tcBorders>
              <w:top w:val="nil"/>
              <w:left w:val="nil"/>
              <w:bottom w:val="nil"/>
              <w:right w:val="nil"/>
            </w:tcBorders>
            <w:shd w:val="clear" w:color="000000" w:fill="CAE7F3"/>
            <w:noWrap/>
            <w:vAlign w:val="bottom"/>
            <w:hideMark/>
          </w:tcPr>
          <w:p w14:paraId="650FA287" w14:textId="77777777" w:rsidR="009514D7" w:rsidRPr="00FB0286" w:rsidRDefault="009514D7" w:rsidP="009514D7">
            <w:pPr>
              <w:spacing w:after="0" w:line="360" w:lineRule="auto"/>
              <w:ind w:left="0"/>
              <w:jc w:val="left"/>
              <w:rPr>
                <w:rFonts w:eastAsia="Times New Roman" w:cs="Arial"/>
                <w:color w:val="000000"/>
                <w:sz w:val="18"/>
                <w:szCs w:val="18"/>
                <w:lang w:eastAsia="en-AU"/>
              </w:rPr>
            </w:pPr>
            <w:r w:rsidRPr="00FB0286">
              <w:rPr>
                <w:rFonts w:eastAsia="Times New Roman" w:cs="Arial"/>
                <w:color w:val="000000"/>
                <w:sz w:val="18"/>
                <w:szCs w:val="18"/>
                <w:lang w:eastAsia="en-AU"/>
              </w:rPr>
              <w:t> </w:t>
            </w:r>
          </w:p>
        </w:tc>
        <w:tc>
          <w:tcPr>
            <w:tcW w:w="992" w:type="dxa"/>
            <w:vMerge w:val="restart"/>
            <w:tcBorders>
              <w:top w:val="nil"/>
              <w:left w:val="nil"/>
              <w:bottom w:val="nil"/>
              <w:right w:val="nil"/>
            </w:tcBorders>
            <w:shd w:val="clear" w:color="000000" w:fill="CAE7F3"/>
            <w:noWrap/>
            <w:vAlign w:val="center"/>
            <w:hideMark/>
          </w:tcPr>
          <w:p w14:paraId="23DB0D74" w14:textId="77777777" w:rsidR="009514D7" w:rsidRPr="00C4739F" w:rsidRDefault="009514D7" w:rsidP="009514D7">
            <w:pPr>
              <w:spacing w:after="0" w:line="360" w:lineRule="auto"/>
              <w:ind w:left="0"/>
              <w:jc w:val="right"/>
              <w:rPr>
                <w:rFonts w:eastAsia="Times New Roman" w:cs="Arial"/>
                <w:sz w:val="18"/>
                <w:szCs w:val="18"/>
                <w:lang w:eastAsia="en-AU"/>
              </w:rPr>
            </w:pPr>
            <w:r w:rsidRPr="00C4739F">
              <w:rPr>
                <w:rFonts w:eastAsia="Times New Roman" w:cs="Arial"/>
                <w:color w:val="595A5B" w:themeColor="text2"/>
                <w:sz w:val="18"/>
                <w:szCs w:val="18"/>
                <w:lang w:eastAsia="en-AU"/>
              </w:rPr>
              <w:t>PJ</w:t>
            </w:r>
          </w:p>
        </w:tc>
        <w:tc>
          <w:tcPr>
            <w:tcW w:w="1417" w:type="dxa"/>
            <w:tcBorders>
              <w:top w:val="nil"/>
              <w:left w:val="nil"/>
              <w:bottom w:val="nil"/>
              <w:right w:val="nil"/>
            </w:tcBorders>
            <w:shd w:val="clear" w:color="000000" w:fill="CAE7F3"/>
            <w:noWrap/>
            <w:vAlign w:val="center"/>
            <w:hideMark/>
          </w:tcPr>
          <w:p w14:paraId="259FF103" w14:textId="77777777" w:rsidR="009514D7" w:rsidRPr="00C4739F" w:rsidRDefault="009514D7" w:rsidP="009514D7">
            <w:pPr>
              <w:spacing w:after="0" w:line="240" w:lineRule="auto"/>
              <w:ind w:left="0"/>
              <w:jc w:val="right"/>
              <w:rPr>
                <w:rFonts w:eastAsia="Times New Roman" w:cs="Arial"/>
                <w:sz w:val="18"/>
                <w:szCs w:val="18"/>
                <w:lang w:eastAsia="en-AU"/>
              </w:rPr>
            </w:pPr>
            <w:r w:rsidRPr="00C4739F">
              <w:rPr>
                <w:rFonts w:eastAsia="Times New Roman" w:cs="Arial"/>
                <w:color w:val="595A5B" w:themeColor="text2"/>
                <w:sz w:val="18"/>
                <w:szCs w:val="18"/>
                <w:lang w:eastAsia="en-AU"/>
              </w:rPr>
              <w:t>share</w:t>
            </w:r>
          </w:p>
        </w:tc>
        <w:tc>
          <w:tcPr>
            <w:tcW w:w="284" w:type="dxa"/>
            <w:vMerge w:val="restart"/>
            <w:tcBorders>
              <w:top w:val="nil"/>
              <w:left w:val="nil"/>
              <w:bottom w:val="nil"/>
              <w:right w:val="nil"/>
            </w:tcBorders>
            <w:shd w:val="clear" w:color="000000" w:fill="CAE7F3"/>
            <w:noWrap/>
            <w:vAlign w:val="bottom"/>
            <w:hideMark/>
          </w:tcPr>
          <w:p w14:paraId="03EDB9B7" w14:textId="77777777" w:rsidR="009514D7" w:rsidRPr="00FB0286" w:rsidRDefault="009514D7" w:rsidP="009514D7">
            <w:pPr>
              <w:spacing w:after="0" w:line="240" w:lineRule="auto"/>
              <w:ind w:left="0"/>
              <w:jc w:val="left"/>
              <w:rPr>
                <w:rFonts w:eastAsia="Times New Roman" w:cs="Arial"/>
                <w:color w:val="000000"/>
                <w:sz w:val="18"/>
                <w:szCs w:val="18"/>
                <w:lang w:eastAsia="en-AU"/>
              </w:rPr>
            </w:pPr>
            <w:r w:rsidRPr="00FB0286">
              <w:rPr>
                <w:rFonts w:eastAsia="Times New Roman" w:cs="Arial"/>
                <w:color w:val="000000"/>
                <w:sz w:val="18"/>
                <w:szCs w:val="18"/>
                <w:lang w:eastAsia="en-AU"/>
              </w:rPr>
              <w:t> </w:t>
            </w:r>
          </w:p>
        </w:tc>
        <w:tc>
          <w:tcPr>
            <w:tcW w:w="1417" w:type="dxa"/>
            <w:tcBorders>
              <w:top w:val="nil"/>
              <w:left w:val="nil"/>
              <w:bottom w:val="nil"/>
              <w:right w:val="nil"/>
            </w:tcBorders>
            <w:shd w:val="clear" w:color="000000" w:fill="CAE7F3"/>
            <w:vAlign w:val="center"/>
          </w:tcPr>
          <w:p w14:paraId="51FA48BE" w14:textId="643869DF" w:rsidR="009514D7" w:rsidRPr="00C4739F" w:rsidRDefault="003F2CCE" w:rsidP="009514D7">
            <w:pPr>
              <w:spacing w:after="0" w:line="240" w:lineRule="auto"/>
              <w:ind w:left="0"/>
              <w:jc w:val="right"/>
              <w:rPr>
                <w:rFonts w:eastAsia="Times New Roman" w:cs="Arial"/>
                <w:sz w:val="18"/>
                <w:szCs w:val="18"/>
                <w:lang w:eastAsia="en-AU"/>
              </w:rPr>
            </w:pPr>
            <w:r w:rsidRPr="00C4739F">
              <w:rPr>
                <w:rFonts w:eastAsia="Times New Roman" w:cs="Arial"/>
                <w:color w:val="595A5B" w:themeColor="text2"/>
                <w:sz w:val="18"/>
                <w:szCs w:val="18"/>
                <w:lang w:eastAsia="en-AU"/>
              </w:rPr>
              <w:t>2016–17</w:t>
            </w:r>
          </w:p>
        </w:tc>
        <w:tc>
          <w:tcPr>
            <w:tcW w:w="1134" w:type="dxa"/>
            <w:tcBorders>
              <w:top w:val="nil"/>
              <w:left w:val="nil"/>
              <w:bottom w:val="nil"/>
              <w:right w:val="nil"/>
            </w:tcBorders>
            <w:shd w:val="clear" w:color="000000" w:fill="CAE7F3"/>
            <w:noWrap/>
            <w:vAlign w:val="center"/>
            <w:hideMark/>
          </w:tcPr>
          <w:p w14:paraId="09C581C2" w14:textId="77777777" w:rsidR="009514D7" w:rsidRPr="00C4739F" w:rsidRDefault="009514D7" w:rsidP="009514D7">
            <w:pPr>
              <w:spacing w:after="0" w:line="240" w:lineRule="auto"/>
              <w:ind w:left="0"/>
              <w:jc w:val="right"/>
              <w:rPr>
                <w:rFonts w:eastAsia="Times New Roman" w:cs="Arial"/>
                <w:sz w:val="18"/>
                <w:szCs w:val="18"/>
                <w:lang w:eastAsia="en-AU"/>
              </w:rPr>
            </w:pPr>
            <w:r w:rsidRPr="00C4739F">
              <w:rPr>
                <w:rFonts w:eastAsia="Times New Roman" w:cs="Arial"/>
                <w:color w:val="595A5B" w:themeColor="text2"/>
                <w:sz w:val="18"/>
                <w:szCs w:val="18"/>
                <w:lang w:eastAsia="en-AU"/>
              </w:rPr>
              <w:t>10 years</w:t>
            </w:r>
          </w:p>
        </w:tc>
      </w:tr>
      <w:tr w:rsidR="009514D7" w:rsidRPr="001F1F3C" w14:paraId="3D263C97" w14:textId="77777777" w:rsidTr="009514D7">
        <w:trPr>
          <w:trHeight w:val="300"/>
        </w:trPr>
        <w:tc>
          <w:tcPr>
            <w:tcW w:w="1560" w:type="dxa"/>
            <w:vMerge/>
            <w:tcBorders>
              <w:top w:val="nil"/>
              <w:left w:val="nil"/>
              <w:bottom w:val="nil"/>
              <w:right w:val="nil"/>
            </w:tcBorders>
            <w:vAlign w:val="center"/>
            <w:hideMark/>
          </w:tcPr>
          <w:p w14:paraId="6AC83B55" w14:textId="77777777" w:rsidR="009514D7" w:rsidRPr="00FB0286" w:rsidRDefault="009514D7" w:rsidP="009514D7">
            <w:pPr>
              <w:spacing w:after="0" w:line="360" w:lineRule="auto"/>
              <w:ind w:left="0"/>
              <w:jc w:val="left"/>
              <w:rPr>
                <w:rFonts w:eastAsia="Times New Roman" w:cs="Arial"/>
                <w:color w:val="000000"/>
                <w:sz w:val="18"/>
                <w:szCs w:val="18"/>
                <w:lang w:eastAsia="en-AU"/>
              </w:rPr>
            </w:pPr>
          </w:p>
        </w:tc>
        <w:tc>
          <w:tcPr>
            <w:tcW w:w="992" w:type="dxa"/>
            <w:vMerge/>
            <w:tcBorders>
              <w:top w:val="nil"/>
              <w:left w:val="nil"/>
              <w:bottom w:val="nil"/>
              <w:right w:val="nil"/>
            </w:tcBorders>
            <w:vAlign w:val="center"/>
            <w:hideMark/>
          </w:tcPr>
          <w:p w14:paraId="1E991CA6" w14:textId="77777777" w:rsidR="009514D7" w:rsidRPr="00C4739F" w:rsidRDefault="009514D7" w:rsidP="009514D7">
            <w:pPr>
              <w:spacing w:after="0" w:line="360" w:lineRule="auto"/>
              <w:ind w:left="0"/>
              <w:jc w:val="left"/>
              <w:rPr>
                <w:rFonts w:eastAsia="Times New Roman" w:cs="Arial"/>
                <w:sz w:val="18"/>
                <w:szCs w:val="18"/>
                <w:lang w:eastAsia="en-AU"/>
              </w:rPr>
            </w:pPr>
          </w:p>
        </w:tc>
        <w:tc>
          <w:tcPr>
            <w:tcW w:w="1417" w:type="dxa"/>
            <w:tcBorders>
              <w:top w:val="nil"/>
              <w:left w:val="nil"/>
              <w:bottom w:val="nil"/>
              <w:right w:val="nil"/>
            </w:tcBorders>
            <w:shd w:val="clear" w:color="000000" w:fill="CAE7F3"/>
            <w:noWrap/>
            <w:vAlign w:val="center"/>
            <w:hideMark/>
          </w:tcPr>
          <w:p w14:paraId="72ECCE04" w14:textId="77777777" w:rsidR="009514D7" w:rsidRPr="00C4739F" w:rsidRDefault="009514D7" w:rsidP="009514D7">
            <w:pPr>
              <w:spacing w:after="0" w:line="360" w:lineRule="auto"/>
              <w:ind w:left="0"/>
              <w:jc w:val="right"/>
              <w:rPr>
                <w:rFonts w:eastAsia="Times New Roman" w:cs="Arial"/>
                <w:sz w:val="18"/>
                <w:szCs w:val="18"/>
                <w:lang w:eastAsia="en-AU"/>
              </w:rPr>
            </w:pPr>
            <w:r w:rsidRPr="00C4739F">
              <w:rPr>
                <w:rFonts w:eastAsia="Times New Roman" w:cs="Arial"/>
                <w:sz w:val="18"/>
                <w:szCs w:val="18"/>
                <w:lang w:eastAsia="en-AU"/>
              </w:rPr>
              <w:t>(per cent)</w:t>
            </w:r>
          </w:p>
        </w:tc>
        <w:tc>
          <w:tcPr>
            <w:tcW w:w="284" w:type="dxa"/>
            <w:vMerge/>
            <w:tcBorders>
              <w:top w:val="nil"/>
              <w:left w:val="nil"/>
              <w:bottom w:val="nil"/>
              <w:right w:val="nil"/>
            </w:tcBorders>
            <w:vAlign w:val="center"/>
            <w:hideMark/>
          </w:tcPr>
          <w:p w14:paraId="01A854C3" w14:textId="77777777" w:rsidR="009514D7" w:rsidRPr="00FB0286" w:rsidRDefault="009514D7" w:rsidP="009514D7">
            <w:pPr>
              <w:spacing w:after="0" w:line="360" w:lineRule="auto"/>
              <w:ind w:left="0"/>
              <w:jc w:val="left"/>
              <w:rPr>
                <w:rFonts w:eastAsia="Times New Roman" w:cs="Arial"/>
                <w:color w:val="000000"/>
                <w:sz w:val="18"/>
                <w:szCs w:val="18"/>
                <w:lang w:eastAsia="en-AU"/>
              </w:rPr>
            </w:pPr>
          </w:p>
        </w:tc>
        <w:tc>
          <w:tcPr>
            <w:tcW w:w="1417" w:type="dxa"/>
            <w:tcBorders>
              <w:top w:val="nil"/>
              <w:left w:val="nil"/>
              <w:bottom w:val="nil"/>
              <w:right w:val="nil"/>
            </w:tcBorders>
            <w:shd w:val="clear" w:color="000000" w:fill="CAE7F3"/>
            <w:vAlign w:val="center"/>
          </w:tcPr>
          <w:p w14:paraId="31C86022" w14:textId="77777777" w:rsidR="009514D7" w:rsidRPr="00C4739F" w:rsidRDefault="009514D7" w:rsidP="009514D7">
            <w:pPr>
              <w:spacing w:after="0" w:line="360" w:lineRule="auto"/>
              <w:ind w:left="0"/>
              <w:jc w:val="right"/>
              <w:rPr>
                <w:rFonts w:eastAsia="Times New Roman" w:cs="Arial"/>
                <w:sz w:val="18"/>
                <w:szCs w:val="18"/>
                <w:lang w:eastAsia="en-AU"/>
              </w:rPr>
            </w:pPr>
            <w:r w:rsidRPr="00C4739F">
              <w:rPr>
                <w:rFonts w:eastAsia="Times New Roman" w:cs="Arial"/>
                <w:sz w:val="18"/>
                <w:szCs w:val="18"/>
                <w:lang w:eastAsia="en-AU"/>
              </w:rPr>
              <w:t>(per cent)</w:t>
            </w:r>
          </w:p>
        </w:tc>
        <w:tc>
          <w:tcPr>
            <w:tcW w:w="1134" w:type="dxa"/>
            <w:tcBorders>
              <w:top w:val="nil"/>
              <w:left w:val="nil"/>
              <w:bottom w:val="nil"/>
              <w:right w:val="nil"/>
            </w:tcBorders>
            <w:shd w:val="clear" w:color="000000" w:fill="CAE7F3"/>
            <w:noWrap/>
            <w:vAlign w:val="center"/>
            <w:hideMark/>
          </w:tcPr>
          <w:p w14:paraId="6F1CC108" w14:textId="77777777" w:rsidR="009514D7" w:rsidRPr="00C4739F" w:rsidRDefault="009514D7" w:rsidP="009514D7">
            <w:pPr>
              <w:spacing w:after="0" w:line="360" w:lineRule="auto"/>
              <w:ind w:left="0"/>
              <w:jc w:val="right"/>
              <w:rPr>
                <w:rFonts w:eastAsia="Times New Roman" w:cs="Arial"/>
                <w:sz w:val="18"/>
                <w:szCs w:val="18"/>
                <w:lang w:eastAsia="en-AU"/>
              </w:rPr>
            </w:pPr>
            <w:r w:rsidRPr="00C4739F">
              <w:rPr>
                <w:rFonts w:eastAsia="Times New Roman" w:cs="Arial"/>
                <w:sz w:val="18"/>
                <w:szCs w:val="18"/>
                <w:lang w:eastAsia="en-AU"/>
              </w:rPr>
              <w:t>(per cent)</w:t>
            </w:r>
          </w:p>
        </w:tc>
      </w:tr>
      <w:tr w:rsidR="00470142" w:rsidRPr="001F1F3C" w14:paraId="51F90D77" w14:textId="77777777" w:rsidTr="00FB0286">
        <w:trPr>
          <w:trHeight w:val="300"/>
        </w:trPr>
        <w:tc>
          <w:tcPr>
            <w:tcW w:w="1560" w:type="dxa"/>
            <w:tcBorders>
              <w:top w:val="nil"/>
              <w:left w:val="nil"/>
              <w:bottom w:val="nil"/>
              <w:right w:val="nil"/>
            </w:tcBorders>
            <w:shd w:val="clear" w:color="000000" w:fill="CAE7F3"/>
            <w:noWrap/>
            <w:hideMark/>
          </w:tcPr>
          <w:p w14:paraId="7EEF45A4" w14:textId="66B7F9BF" w:rsidR="00470142" w:rsidRPr="00C4739F" w:rsidRDefault="00470142" w:rsidP="00470142">
            <w:pPr>
              <w:spacing w:after="0" w:line="360" w:lineRule="auto"/>
              <w:ind w:left="0"/>
              <w:jc w:val="left"/>
              <w:rPr>
                <w:rFonts w:eastAsia="Times New Roman" w:cs="Arial"/>
                <w:sz w:val="18"/>
                <w:szCs w:val="18"/>
                <w:lang w:eastAsia="en-AU"/>
              </w:rPr>
            </w:pPr>
            <w:r w:rsidRPr="00FB0286">
              <w:rPr>
                <w:sz w:val="18"/>
                <w:szCs w:val="18"/>
              </w:rPr>
              <w:t>Agriculture</w:t>
            </w:r>
          </w:p>
        </w:tc>
        <w:tc>
          <w:tcPr>
            <w:tcW w:w="992" w:type="dxa"/>
            <w:tcBorders>
              <w:top w:val="nil"/>
              <w:left w:val="nil"/>
              <w:bottom w:val="nil"/>
              <w:right w:val="nil"/>
            </w:tcBorders>
            <w:shd w:val="clear" w:color="000000" w:fill="CAE7F3"/>
            <w:noWrap/>
            <w:hideMark/>
          </w:tcPr>
          <w:p w14:paraId="3C4FAE26" w14:textId="3AF5151D"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116.3</w:t>
            </w:r>
          </w:p>
        </w:tc>
        <w:tc>
          <w:tcPr>
            <w:tcW w:w="1417" w:type="dxa"/>
            <w:tcBorders>
              <w:top w:val="nil"/>
              <w:left w:val="nil"/>
              <w:bottom w:val="nil"/>
              <w:right w:val="nil"/>
            </w:tcBorders>
            <w:shd w:val="clear" w:color="000000" w:fill="CAE7F3"/>
            <w:noWrap/>
            <w:hideMark/>
          </w:tcPr>
          <w:p w14:paraId="57D8AE29" w14:textId="6737D59F"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2.7</w:t>
            </w:r>
          </w:p>
        </w:tc>
        <w:tc>
          <w:tcPr>
            <w:tcW w:w="284" w:type="dxa"/>
            <w:tcBorders>
              <w:top w:val="nil"/>
              <w:left w:val="nil"/>
              <w:bottom w:val="nil"/>
              <w:right w:val="nil"/>
            </w:tcBorders>
            <w:shd w:val="clear" w:color="000000" w:fill="CAE7F3"/>
            <w:noWrap/>
            <w:hideMark/>
          </w:tcPr>
          <w:p w14:paraId="2E9E4A3D" w14:textId="77777777" w:rsidR="00470142" w:rsidRPr="00C4739F" w:rsidRDefault="00470142" w:rsidP="00470142">
            <w:pPr>
              <w:spacing w:after="0" w:line="360" w:lineRule="auto"/>
              <w:ind w:left="0"/>
              <w:jc w:val="right"/>
              <w:rPr>
                <w:rFonts w:eastAsia="Times New Roman" w:cs="Arial"/>
                <w:sz w:val="18"/>
                <w:szCs w:val="18"/>
                <w:lang w:eastAsia="en-AU"/>
              </w:rPr>
            </w:pPr>
          </w:p>
        </w:tc>
        <w:tc>
          <w:tcPr>
            <w:tcW w:w="1417" w:type="dxa"/>
            <w:tcBorders>
              <w:top w:val="nil"/>
              <w:left w:val="nil"/>
              <w:bottom w:val="nil"/>
              <w:right w:val="nil"/>
            </w:tcBorders>
            <w:shd w:val="clear" w:color="000000" w:fill="CAE7F3"/>
          </w:tcPr>
          <w:p w14:paraId="0992DCDB" w14:textId="640B17AA"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6.0</w:t>
            </w:r>
          </w:p>
        </w:tc>
        <w:tc>
          <w:tcPr>
            <w:tcW w:w="1134" w:type="dxa"/>
            <w:tcBorders>
              <w:top w:val="nil"/>
              <w:left w:val="nil"/>
              <w:bottom w:val="nil"/>
              <w:right w:val="nil"/>
            </w:tcBorders>
            <w:shd w:val="clear" w:color="000000" w:fill="CAE7F3"/>
            <w:noWrap/>
            <w:hideMark/>
          </w:tcPr>
          <w:p w14:paraId="622F771A" w14:textId="1897CBF9"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2.3</w:t>
            </w:r>
          </w:p>
        </w:tc>
      </w:tr>
      <w:tr w:rsidR="00470142" w:rsidRPr="001F1F3C" w14:paraId="3C0C929A" w14:textId="77777777" w:rsidTr="00FB0286">
        <w:trPr>
          <w:trHeight w:val="240"/>
        </w:trPr>
        <w:tc>
          <w:tcPr>
            <w:tcW w:w="1560" w:type="dxa"/>
            <w:tcBorders>
              <w:top w:val="nil"/>
              <w:left w:val="nil"/>
              <w:bottom w:val="nil"/>
              <w:right w:val="nil"/>
            </w:tcBorders>
            <w:shd w:val="clear" w:color="000000" w:fill="CAE7F3"/>
            <w:noWrap/>
            <w:hideMark/>
          </w:tcPr>
          <w:p w14:paraId="5A867315" w14:textId="1278C290" w:rsidR="00470142" w:rsidRPr="00C4739F" w:rsidRDefault="00470142" w:rsidP="00470142">
            <w:pPr>
              <w:spacing w:after="0" w:line="360" w:lineRule="auto"/>
              <w:ind w:left="0"/>
              <w:jc w:val="left"/>
              <w:rPr>
                <w:rFonts w:eastAsia="Times New Roman" w:cs="Arial"/>
                <w:sz w:val="18"/>
                <w:szCs w:val="18"/>
                <w:lang w:eastAsia="en-AU"/>
              </w:rPr>
            </w:pPr>
            <w:r w:rsidRPr="00FB0286">
              <w:rPr>
                <w:sz w:val="18"/>
                <w:szCs w:val="18"/>
              </w:rPr>
              <w:t>Mining</w:t>
            </w:r>
          </w:p>
        </w:tc>
        <w:tc>
          <w:tcPr>
            <w:tcW w:w="992" w:type="dxa"/>
            <w:tcBorders>
              <w:top w:val="nil"/>
              <w:left w:val="nil"/>
              <w:bottom w:val="nil"/>
              <w:right w:val="nil"/>
            </w:tcBorders>
            <w:shd w:val="clear" w:color="000000" w:fill="CAE7F3"/>
            <w:noWrap/>
            <w:hideMark/>
          </w:tcPr>
          <w:p w14:paraId="72F9D932" w14:textId="3DCCBD25"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669.0</w:t>
            </w:r>
          </w:p>
        </w:tc>
        <w:tc>
          <w:tcPr>
            <w:tcW w:w="1417" w:type="dxa"/>
            <w:tcBorders>
              <w:top w:val="nil"/>
              <w:left w:val="nil"/>
              <w:bottom w:val="nil"/>
              <w:right w:val="nil"/>
            </w:tcBorders>
            <w:shd w:val="clear" w:color="000000" w:fill="CAE7F3"/>
            <w:noWrap/>
            <w:hideMark/>
          </w:tcPr>
          <w:p w14:paraId="760E5AEE" w14:textId="7280FC12"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15.8</w:t>
            </w:r>
          </w:p>
        </w:tc>
        <w:tc>
          <w:tcPr>
            <w:tcW w:w="284" w:type="dxa"/>
            <w:tcBorders>
              <w:top w:val="nil"/>
              <w:left w:val="nil"/>
              <w:bottom w:val="nil"/>
              <w:right w:val="nil"/>
            </w:tcBorders>
            <w:shd w:val="clear" w:color="000000" w:fill="CAE7F3"/>
            <w:noWrap/>
            <w:hideMark/>
          </w:tcPr>
          <w:p w14:paraId="1FC361C3" w14:textId="77777777" w:rsidR="00470142" w:rsidRPr="00C4739F" w:rsidRDefault="00470142" w:rsidP="00470142">
            <w:pPr>
              <w:spacing w:after="0" w:line="360" w:lineRule="auto"/>
              <w:ind w:left="0"/>
              <w:jc w:val="right"/>
              <w:rPr>
                <w:rFonts w:eastAsia="Times New Roman" w:cs="Arial"/>
                <w:sz w:val="18"/>
                <w:szCs w:val="18"/>
                <w:lang w:eastAsia="en-AU"/>
              </w:rPr>
            </w:pPr>
          </w:p>
        </w:tc>
        <w:tc>
          <w:tcPr>
            <w:tcW w:w="1417" w:type="dxa"/>
            <w:tcBorders>
              <w:top w:val="nil"/>
              <w:left w:val="nil"/>
              <w:bottom w:val="nil"/>
              <w:right w:val="nil"/>
            </w:tcBorders>
            <w:shd w:val="clear" w:color="000000" w:fill="CAE7F3"/>
          </w:tcPr>
          <w:p w14:paraId="258A2EB6" w14:textId="59533141"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11.8</w:t>
            </w:r>
          </w:p>
        </w:tc>
        <w:tc>
          <w:tcPr>
            <w:tcW w:w="1134" w:type="dxa"/>
            <w:tcBorders>
              <w:top w:val="nil"/>
              <w:left w:val="nil"/>
              <w:bottom w:val="nil"/>
              <w:right w:val="nil"/>
            </w:tcBorders>
            <w:shd w:val="clear" w:color="000000" w:fill="CAE7F3"/>
            <w:noWrap/>
            <w:hideMark/>
          </w:tcPr>
          <w:p w14:paraId="412ED0C9" w14:textId="6795680C"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8.0</w:t>
            </w:r>
          </w:p>
        </w:tc>
      </w:tr>
      <w:tr w:rsidR="00470142" w:rsidRPr="001F1F3C" w14:paraId="6D291B74" w14:textId="77777777" w:rsidTr="00FB0286">
        <w:trPr>
          <w:trHeight w:val="300"/>
        </w:trPr>
        <w:tc>
          <w:tcPr>
            <w:tcW w:w="1560" w:type="dxa"/>
            <w:tcBorders>
              <w:top w:val="nil"/>
              <w:left w:val="nil"/>
              <w:bottom w:val="nil"/>
              <w:right w:val="nil"/>
            </w:tcBorders>
            <w:shd w:val="clear" w:color="000000" w:fill="CAE7F3"/>
            <w:noWrap/>
            <w:hideMark/>
          </w:tcPr>
          <w:p w14:paraId="4960E0C8" w14:textId="69C5819A" w:rsidR="00470142" w:rsidRPr="00C4739F" w:rsidRDefault="00470142" w:rsidP="00470142">
            <w:pPr>
              <w:spacing w:after="0" w:line="360" w:lineRule="auto"/>
              <w:ind w:left="0"/>
              <w:jc w:val="left"/>
              <w:rPr>
                <w:rFonts w:eastAsia="Times New Roman" w:cs="Arial"/>
                <w:sz w:val="18"/>
                <w:szCs w:val="18"/>
                <w:lang w:eastAsia="en-AU"/>
              </w:rPr>
            </w:pPr>
            <w:r w:rsidRPr="00FB0286">
              <w:rPr>
                <w:sz w:val="18"/>
                <w:szCs w:val="18"/>
              </w:rPr>
              <w:t>Manufacturing</w:t>
            </w:r>
          </w:p>
        </w:tc>
        <w:tc>
          <w:tcPr>
            <w:tcW w:w="992" w:type="dxa"/>
            <w:tcBorders>
              <w:top w:val="nil"/>
              <w:left w:val="nil"/>
              <w:bottom w:val="nil"/>
              <w:right w:val="nil"/>
            </w:tcBorders>
            <w:shd w:val="clear" w:color="000000" w:fill="CAE7F3"/>
            <w:noWrap/>
            <w:hideMark/>
          </w:tcPr>
          <w:p w14:paraId="249C3365" w14:textId="5909EAB4"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910.4</w:t>
            </w:r>
          </w:p>
        </w:tc>
        <w:tc>
          <w:tcPr>
            <w:tcW w:w="1417" w:type="dxa"/>
            <w:tcBorders>
              <w:top w:val="nil"/>
              <w:left w:val="nil"/>
              <w:bottom w:val="nil"/>
              <w:right w:val="nil"/>
            </w:tcBorders>
            <w:shd w:val="clear" w:color="000000" w:fill="CAE7F3"/>
            <w:noWrap/>
            <w:hideMark/>
          </w:tcPr>
          <w:p w14:paraId="176C8242" w14:textId="6C7DDB99"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21.4</w:t>
            </w:r>
          </w:p>
        </w:tc>
        <w:tc>
          <w:tcPr>
            <w:tcW w:w="284" w:type="dxa"/>
            <w:tcBorders>
              <w:top w:val="nil"/>
              <w:left w:val="nil"/>
              <w:bottom w:val="nil"/>
              <w:right w:val="nil"/>
            </w:tcBorders>
            <w:shd w:val="clear" w:color="000000" w:fill="CAE7F3"/>
            <w:noWrap/>
            <w:hideMark/>
          </w:tcPr>
          <w:p w14:paraId="38CDEC47" w14:textId="77777777" w:rsidR="00470142" w:rsidRPr="00C4739F" w:rsidRDefault="00470142" w:rsidP="00470142">
            <w:pPr>
              <w:spacing w:after="0" w:line="360" w:lineRule="auto"/>
              <w:ind w:left="0"/>
              <w:jc w:val="right"/>
              <w:rPr>
                <w:rFonts w:eastAsia="Times New Roman" w:cs="Arial"/>
                <w:sz w:val="18"/>
                <w:szCs w:val="18"/>
                <w:lang w:eastAsia="en-AU"/>
              </w:rPr>
            </w:pPr>
          </w:p>
        </w:tc>
        <w:tc>
          <w:tcPr>
            <w:tcW w:w="1417" w:type="dxa"/>
            <w:tcBorders>
              <w:top w:val="nil"/>
              <w:left w:val="nil"/>
              <w:bottom w:val="nil"/>
              <w:right w:val="nil"/>
            </w:tcBorders>
            <w:shd w:val="clear" w:color="000000" w:fill="CAE7F3"/>
          </w:tcPr>
          <w:p w14:paraId="4EEE3283" w14:textId="335E5F1D"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-2.1</w:t>
            </w:r>
          </w:p>
        </w:tc>
        <w:tc>
          <w:tcPr>
            <w:tcW w:w="1134" w:type="dxa"/>
            <w:tcBorders>
              <w:top w:val="nil"/>
              <w:left w:val="nil"/>
              <w:bottom w:val="nil"/>
              <w:right w:val="nil"/>
            </w:tcBorders>
            <w:shd w:val="clear" w:color="000000" w:fill="CAE7F3"/>
            <w:noWrap/>
            <w:hideMark/>
          </w:tcPr>
          <w:p w14:paraId="2314B9D0" w14:textId="4673AFFB"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-1.1</w:t>
            </w:r>
          </w:p>
        </w:tc>
      </w:tr>
      <w:tr w:rsidR="00470142" w:rsidRPr="001F1F3C" w14:paraId="69F40A85" w14:textId="77777777" w:rsidTr="00FB0286">
        <w:trPr>
          <w:trHeight w:val="300"/>
        </w:trPr>
        <w:tc>
          <w:tcPr>
            <w:tcW w:w="1560" w:type="dxa"/>
            <w:tcBorders>
              <w:top w:val="nil"/>
              <w:left w:val="nil"/>
              <w:bottom w:val="nil"/>
              <w:right w:val="nil"/>
            </w:tcBorders>
            <w:shd w:val="clear" w:color="000000" w:fill="CAE7F3"/>
            <w:noWrap/>
            <w:hideMark/>
          </w:tcPr>
          <w:p w14:paraId="5D0F2880" w14:textId="5F32FEDB" w:rsidR="00470142" w:rsidRPr="00C4739F" w:rsidRDefault="00470142" w:rsidP="00470142">
            <w:pPr>
              <w:spacing w:after="0" w:line="360" w:lineRule="auto"/>
              <w:ind w:left="0"/>
              <w:jc w:val="left"/>
              <w:rPr>
                <w:rFonts w:eastAsia="Times New Roman" w:cs="Arial"/>
                <w:sz w:val="18"/>
                <w:szCs w:val="18"/>
                <w:lang w:eastAsia="en-AU"/>
              </w:rPr>
            </w:pPr>
            <w:r w:rsidRPr="00FB0286">
              <w:rPr>
                <w:sz w:val="18"/>
                <w:szCs w:val="18"/>
              </w:rPr>
              <w:t>Construction</w:t>
            </w:r>
          </w:p>
        </w:tc>
        <w:tc>
          <w:tcPr>
            <w:tcW w:w="992" w:type="dxa"/>
            <w:tcBorders>
              <w:top w:val="nil"/>
              <w:left w:val="nil"/>
              <w:bottom w:val="nil"/>
              <w:right w:val="nil"/>
            </w:tcBorders>
            <w:shd w:val="clear" w:color="000000" w:fill="CAE7F3"/>
            <w:noWrap/>
            <w:hideMark/>
          </w:tcPr>
          <w:p w14:paraId="29919DFA" w14:textId="42680D1F"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24.2</w:t>
            </w:r>
          </w:p>
        </w:tc>
        <w:tc>
          <w:tcPr>
            <w:tcW w:w="1417" w:type="dxa"/>
            <w:tcBorders>
              <w:top w:val="nil"/>
              <w:left w:val="nil"/>
              <w:bottom w:val="nil"/>
              <w:right w:val="nil"/>
            </w:tcBorders>
            <w:shd w:val="clear" w:color="000000" w:fill="CAE7F3"/>
            <w:noWrap/>
            <w:hideMark/>
          </w:tcPr>
          <w:p w14:paraId="526653BD" w14:textId="2CCC37E1"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0.6</w:t>
            </w:r>
          </w:p>
        </w:tc>
        <w:tc>
          <w:tcPr>
            <w:tcW w:w="284" w:type="dxa"/>
            <w:tcBorders>
              <w:top w:val="nil"/>
              <w:left w:val="nil"/>
              <w:bottom w:val="nil"/>
              <w:right w:val="nil"/>
            </w:tcBorders>
            <w:shd w:val="clear" w:color="000000" w:fill="CAE7F3"/>
            <w:noWrap/>
            <w:hideMark/>
          </w:tcPr>
          <w:p w14:paraId="3AA76449" w14:textId="77777777" w:rsidR="00470142" w:rsidRPr="00C4739F" w:rsidRDefault="00470142" w:rsidP="00470142">
            <w:pPr>
              <w:spacing w:after="0" w:line="360" w:lineRule="auto"/>
              <w:ind w:left="0"/>
              <w:jc w:val="right"/>
              <w:rPr>
                <w:rFonts w:eastAsia="Times New Roman" w:cs="Arial"/>
                <w:sz w:val="18"/>
                <w:szCs w:val="18"/>
                <w:lang w:eastAsia="en-AU"/>
              </w:rPr>
            </w:pPr>
          </w:p>
        </w:tc>
        <w:tc>
          <w:tcPr>
            <w:tcW w:w="1417" w:type="dxa"/>
            <w:tcBorders>
              <w:top w:val="nil"/>
              <w:left w:val="nil"/>
              <w:bottom w:val="nil"/>
              <w:right w:val="nil"/>
            </w:tcBorders>
            <w:shd w:val="clear" w:color="000000" w:fill="CAE7F3"/>
          </w:tcPr>
          <w:p w14:paraId="42BF0A34" w14:textId="31886F82"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-0.5</w:t>
            </w:r>
          </w:p>
        </w:tc>
        <w:tc>
          <w:tcPr>
            <w:tcW w:w="1134" w:type="dxa"/>
            <w:tcBorders>
              <w:top w:val="nil"/>
              <w:left w:val="nil"/>
              <w:bottom w:val="nil"/>
              <w:right w:val="nil"/>
            </w:tcBorders>
            <w:shd w:val="clear" w:color="000000" w:fill="CAE7F3"/>
            <w:noWrap/>
            <w:hideMark/>
          </w:tcPr>
          <w:p w14:paraId="35F743E2" w14:textId="5A2A8D9D"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-0.9</w:t>
            </w:r>
          </w:p>
        </w:tc>
      </w:tr>
      <w:tr w:rsidR="00470142" w:rsidRPr="001F1F3C" w14:paraId="2074EBB7" w14:textId="77777777" w:rsidTr="00FB0286">
        <w:trPr>
          <w:trHeight w:val="300"/>
        </w:trPr>
        <w:tc>
          <w:tcPr>
            <w:tcW w:w="1560" w:type="dxa"/>
            <w:tcBorders>
              <w:top w:val="nil"/>
              <w:left w:val="nil"/>
              <w:bottom w:val="nil"/>
              <w:right w:val="nil"/>
            </w:tcBorders>
            <w:shd w:val="clear" w:color="000000" w:fill="CAE7F3"/>
            <w:noWrap/>
            <w:hideMark/>
          </w:tcPr>
          <w:p w14:paraId="52446CDA" w14:textId="2D87B380" w:rsidR="00470142" w:rsidRPr="00C4739F" w:rsidRDefault="00470142" w:rsidP="00470142">
            <w:pPr>
              <w:spacing w:after="0" w:line="360" w:lineRule="auto"/>
              <w:ind w:left="0"/>
              <w:jc w:val="left"/>
              <w:rPr>
                <w:rFonts w:eastAsia="Times New Roman" w:cs="Arial"/>
                <w:sz w:val="18"/>
                <w:szCs w:val="18"/>
                <w:lang w:eastAsia="en-AU"/>
              </w:rPr>
            </w:pPr>
            <w:r w:rsidRPr="00FB0286">
              <w:rPr>
                <w:sz w:val="18"/>
                <w:szCs w:val="18"/>
              </w:rPr>
              <w:t>Transport</w:t>
            </w:r>
          </w:p>
        </w:tc>
        <w:tc>
          <w:tcPr>
            <w:tcW w:w="992" w:type="dxa"/>
            <w:tcBorders>
              <w:top w:val="nil"/>
              <w:left w:val="nil"/>
              <w:bottom w:val="nil"/>
              <w:right w:val="nil"/>
            </w:tcBorders>
            <w:shd w:val="clear" w:color="000000" w:fill="CAE7F3"/>
            <w:noWrap/>
            <w:hideMark/>
          </w:tcPr>
          <w:p w14:paraId="2610CD8D" w14:textId="24D7BE33"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1</w:t>
            </w:r>
            <w:r w:rsidR="002E37A1">
              <w:rPr>
                <w:sz w:val="18"/>
                <w:szCs w:val="18"/>
              </w:rPr>
              <w:t>,</w:t>
            </w:r>
            <w:r w:rsidRPr="00FB0286">
              <w:rPr>
                <w:sz w:val="18"/>
                <w:szCs w:val="18"/>
              </w:rPr>
              <w:t>678.3</w:t>
            </w:r>
          </w:p>
        </w:tc>
        <w:tc>
          <w:tcPr>
            <w:tcW w:w="1417" w:type="dxa"/>
            <w:tcBorders>
              <w:top w:val="nil"/>
              <w:left w:val="nil"/>
              <w:bottom w:val="nil"/>
              <w:right w:val="nil"/>
            </w:tcBorders>
            <w:shd w:val="clear" w:color="000000" w:fill="CAE7F3"/>
            <w:noWrap/>
            <w:hideMark/>
          </w:tcPr>
          <w:p w14:paraId="6DAA5257" w14:textId="3218345B"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39.5</w:t>
            </w:r>
          </w:p>
        </w:tc>
        <w:tc>
          <w:tcPr>
            <w:tcW w:w="284" w:type="dxa"/>
            <w:tcBorders>
              <w:top w:val="nil"/>
              <w:left w:val="nil"/>
              <w:bottom w:val="nil"/>
              <w:right w:val="nil"/>
            </w:tcBorders>
            <w:shd w:val="clear" w:color="000000" w:fill="CAE7F3"/>
            <w:noWrap/>
            <w:hideMark/>
          </w:tcPr>
          <w:p w14:paraId="3A25D5AF" w14:textId="77777777" w:rsidR="00470142" w:rsidRPr="00C4739F" w:rsidRDefault="00470142" w:rsidP="00470142">
            <w:pPr>
              <w:spacing w:after="0" w:line="360" w:lineRule="auto"/>
              <w:ind w:left="0"/>
              <w:jc w:val="right"/>
              <w:rPr>
                <w:rFonts w:eastAsia="Times New Roman" w:cs="Arial"/>
                <w:sz w:val="18"/>
                <w:szCs w:val="18"/>
                <w:lang w:eastAsia="en-AU"/>
              </w:rPr>
            </w:pPr>
          </w:p>
        </w:tc>
        <w:tc>
          <w:tcPr>
            <w:tcW w:w="1417" w:type="dxa"/>
            <w:tcBorders>
              <w:top w:val="nil"/>
              <w:left w:val="nil"/>
              <w:bottom w:val="nil"/>
              <w:right w:val="nil"/>
            </w:tcBorders>
            <w:shd w:val="clear" w:color="000000" w:fill="CAE7F3"/>
          </w:tcPr>
          <w:p w14:paraId="58835AA3" w14:textId="659D6252"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2.8</w:t>
            </w:r>
          </w:p>
        </w:tc>
        <w:tc>
          <w:tcPr>
            <w:tcW w:w="1134" w:type="dxa"/>
            <w:tcBorders>
              <w:top w:val="nil"/>
              <w:left w:val="nil"/>
              <w:bottom w:val="nil"/>
              <w:right w:val="nil"/>
            </w:tcBorders>
            <w:shd w:val="clear" w:color="000000" w:fill="CAE7F3"/>
            <w:noWrap/>
            <w:hideMark/>
          </w:tcPr>
          <w:p w14:paraId="423904AB" w14:textId="61D1C6C5"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1.7</w:t>
            </w:r>
          </w:p>
        </w:tc>
      </w:tr>
      <w:tr w:rsidR="00470142" w:rsidRPr="001F1F3C" w14:paraId="2E2058F8" w14:textId="77777777" w:rsidTr="00FB0286">
        <w:trPr>
          <w:trHeight w:val="301"/>
        </w:trPr>
        <w:tc>
          <w:tcPr>
            <w:tcW w:w="1560" w:type="dxa"/>
            <w:tcBorders>
              <w:top w:val="nil"/>
              <w:left w:val="nil"/>
              <w:bottom w:val="nil"/>
              <w:right w:val="nil"/>
            </w:tcBorders>
            <w:shd w:val="clear" w:color="000000" w:fill="CAE7F3"/>
            <w:noWrap/>
            <w:hideMark/>
          </w:tcPr>
          <w:p w14:paraId="40838BEB" w14:textId="47C34B62" w:rsidR="00470142" w:rsidRPr="00C4739F" w:rsidRDefault="00470142" w:rsidP="00470142">
            <w:pPr>
              <w:spacing w:after="0" w:line="360" w:lineRule="auto"/>
              <w:ind w:left="0"/>
              <w:jc w:val="left"/>
              <w:rPr>
                <w:rFonts w:eastAsia="Times New Roman" w:cs="Arial"/>
                <w:sz w:val="18"/>
                <w:szCs w:val="18"/>
                <w:lang w:eastAsia="en-AU"/>
              </w:rPr>
            </w:pPr>
            <w:r w:rsidRPr="00FB0286">
              <w:rPr>
                <w:sz w:val="18"/>
                <w:szCs w:val="18"/>
              </w:rPr>
              <w:t>Commercial</w:t>
            </w:r>
          </w:p>
        </w:tc>
        <w:tc>
          <w:tcPr>
            <w:tcW w:w="992" w:type="dxa"/>
            <w:tcBorders>
              <w:top w:val="nil"/>
              <w:left w:val="nil"/>
              <w:bottom w:val="nil"/>
              <w:right w:val="nil"/>
            </w:tcBorders>
            <w:shd w:val="clear" w:color="000000" w:fill="CAE7F3"/>
            <w:noWrap/>
            <w:hideMark/>
          </w:tcPr>
          <w:p w14:paraId="119B984E" w14:textId="2A2FC3F2"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344.6</w:t>
            </w:r>
          </w:p>
        </w:tc>
        <w:tc>
          <w:tcPr>
            <w:tcW w:w="1417" w:type="dxa"/>
            <w:tcBorders>
              <w:top w:val="nil"/>
              <w:left w:val="nil"/>
              <w:bottom w:val="nil"/>
              <w:right w:val="nil"/>
            </w:tcBorders>
            <w:shd w:val="clear" w:color="000000" w:fill="CAE7F3"/>
            <w:noWrap/>
            <w:hideMark/>
          </w:tcPr>
          <w:p w14:paraId="192EAB53" w14:textId="057CF07C"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8.1</w:t>
            </w:r>
          </w:p>
        </w:tc>
        <w:tc>
          <w:tcPr>
            <w:tcW w:w="284" w:type="dxa"/>
            <w:tcBorders>
              <w:top w:val="nil"/>
              <w:left w:val="nil"/>
              <w:bottom w:val="nil"/>
              <w:right w:val="nil"/>
            </w:tcBorders>
            <w:shd w:val="clear" w:color="000000" w:fill="CAE7F3"/>
            <w:noWrap/>
            <w:hideMark/>
          </w:tcPr>
          <w:p w14:paraId="2E6F5177" w14:textId="77777777" w:rsidR="00470142" w:rsidRPr="00C4739F" w:rsidRDefault="00470142" w:rsidP="00470142">
            <w:pPr>
              <w:spacing w:after="0" w:line="360" w:lineRule="auto"/>
              <w:ind w:left="0"/>
              <w:jc w:val="right"/>
              <w:rPr>
                <w:rFonts w:eastAsia="Times New Roman" w:cs="Arial"/>
                <w:sz w:val="18"/>
                <w:szCs w:val="18"/>
                <w:lang w:eastAsia="en-AU"/>
              </w:rPr>
            </w:pPr>
          </w:p>
        </w:tc>
        <w:tc>
          <w:tcPr>
            <w:tcW w:w="1417" w:type="dxa"/>
            <w:tcBorders>
              <w:top w:val="nil"/>
              <w:left w:val="nil"/>
              <w:bottom w:val="nil"/>
              <w:right w:val="nil"/>
            </w:tcBorders>
            <w:shd w:val="clear" w:color="000000" w:fill="CAE7F3"/>
          </w:tcPr>
          <w:p w14:paraId="7F95128D" w14:textId="25228929"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1.7</w:t>
            </w:r>
          </w:p>
        </w:tc>
        <w:tc>
          <w:tcPr>
            <w:tcW w:w="1134" w:type="dxa"/>
            <w:tcBorders>
              <w:top w:val="nil"/>
              <w:left w:val="nil"/>
              <w:bottom w:val="nil"/>
              <w:right w:val="nil"/>
            </w:tcBorders>
            <w:shd w:val="clear" w:color="000000" w:fill="CAE7F3"/>
            <w:noWrap/>
            <w:hideMark/>
          </w:tcPr>
          <w:p w14:paraId="14F5A0A3" w14:textId="38F4A1A4"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2.0</w:t>
            </w:r>
          </w:p>
        </w:tc>
      </w:tr>
      <w:tr w:rsidR="00470142" w:rsidRPr="001F1F3C" w14:paraId="47E2F603" w14:textId="77777777" w:rsidTr="00FB0286">
        <w:trPr>
          <w:trHeight w:val="289"/>
        </w:trPr>
        <w:tc>
          <w:tcPr>
            <w:tcW w:w="1560" w:type="dxa"/>
            <w:tcBorders>
              <w:top w:val="nil"/>
              <w:left w:val="nil"/>
              <w:bottom w:val="nil"/>
              <w:right w:val="nil"/>
            </w:tcBorders>
            <w:shd w:val="clear" w:color="000000" w:fill="CAE7F3"/>
            <w:noWrap/>
            <w:hideMark/>
          </w:tcPr>
          <w:p w14:paraId="2A01EE13" w14:textId="1BE9EFD1" w:rsidR="00470142" w:rsidRPr="00C4739F" w:rsidRDefault="00470142" w:rsidP="00470142">
            <w:pPr>
              <w:spacing w:after="0" w:line="360" w:lineRule="auto"/>
              <w:ind w:left="0"/>
              <w:jc w:val="left"/>
              <w:rPr>
                <w:rFonts w:eastAsia="Times New Roman" w:cs="Arial"/>
                <w:sz w:val="18"/>
                <w:szCs w:val="18"/>
                <w:lang w:eastAsia="en-AU"/>
              </w:rPr>
            </w:pPr>
            <w:r w:rsidRPr="00FB0286">
              <w:rPr>
                <w:sz w:val="18"/>
                <w:szCs w:val="18"/>
              </w:rPr>
              <w:t>Residential</w:t>
            </w:r>
          </w:p>
        </w:tc>
        <w:tc>
          <w:tcPr>
            <w:tcW w:w="992" w:type="dxa"/>
            <w:tcBorders>
              <w:top w:val="nil"/>
              <w:left w:val="nil"/>
              <w:bottom w:val="nil"/>
              <w:right w:val="nil"/>
            </w:tcBorders>
            <w:shd w:val="clear" w:color="000000" w:fill="CAE7F3"/>
            <w:noWrap/>
            <w:hideMark/>
          </w:tcPr>
          <w:p w14:paraId="2717096C" w14:textId="78A1D33A"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458.4</w:t>
            </w:r>
          </w:p>
        </w:tc>
        <w:tc>
          <w:tcPr>
            <w:tcW w:w="1417" w:type="dxa"/>
            <w:tcBorders>
              <w:top w:val="nil"/>
              <w:left w:val="nil"/>
              <w:bottom w:val="nil"/>
              <w:right w:val="nil"/>
            </w:tcBorders>
            <w:shd w:val="clear" w:color="000000" w:fill="CAE7F3"/>
            <w:noWrap/>
            <w:hideMark/>
          </w:tcPr>
          <w:p w14:paraId="39D148C1" w14:textId="73316203"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10.8</w:t>
            </w:r>
          </w:p>
        </w:tc>
        <w:tc>
          <w:tcPr>
            <w:tcW w:w="284" w:type="dxa"/>
            <w:tcBorders>
              <w:top w:val="nil"/>
              <w:left w:val="nil"/>
              <w:bottom w:val="nil"/>
              <w:right w:val="nil"/>
            </w:tcBorders>
            <w:shd w:val="clear" w:color="000000" w:fill="CAE7F3"/>
            <w:noWrap/>
            <w:hideMark/>
          </w:tcPr>
          <w:p w14:paraId="2CE0E9C2" w14:textId="77777777" w:rsidR="00470142" w:rsidRPr="00C4739F" w:rsidRDefault="00470142" w:rsidP="00470142">
            <w:pPr>
              <w:spacing w:after="0" w:line="360" w:lineRule="auto"/>
              <w:ind w:left="0"/>
              <w:jc w:val="right"/>
              <w:rPr>
                <w:rFonts w:eastAsia="Times New Roman" w:cs="Arial"/>
                <w:sz w:val="18"/>
                <w:szCs w:val="18"/>
                <w:lang w:eastAsia="en-AU"/>
              </w:rPr>
            </w:pPr>
          </w:p>
        </w:tc>
        <w:tc>
          <w:tcPr>
            <w:tcW w:w="1417" w:type="dxa"/>
            <w:tcBorders>
              <w:top w:val="nil"/>
              <w:left w:val="nil"/>
              <w:bottom w:val="nil"/>
              <w:right w:val="nil"/>
            </w:tcBorders>
            <w:shd w:val="clear" w:color="000000" w:fill="CAE7F3"/>
          </w:tcPr>
          <w:p w14:paraId="4B74828E" w14:textId="4889F65D"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-0.5</w:t>
            </w:r>
          </w:p>
        </w:tc>
        <w:tc>
          <w:tcPr>
            <w:tcW w:w="1134" w:type="dxa"/>
            <w:tcBorders>
              <w:top w:val="nil"/>
              <w:left w:val="nil"/>
              <w:bottom w:val="nil"/>
              <w:right w:val="nil"/>
            </w:tcBorders>
            <w:shd w:val="clear" w:color="000000" w:fill="CAE7F3"/>
            <w:noWrap/>
            <w:hideMark/>
          </w:tcPr>
          <w:p w14:paraId="4FC15B93" w14:textId="6FBD2F90"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0.7</w:t>
            </w:r>
          </w:p>
        </w:tc>
      </w:tr>
      <w:tr w:rsidR="00470142" w:rsidRPr="001F1F3C" w14:paraId="59FAC1AA" w14:textId="77777777" w:rsidTr="009514D7">
        <w:trPr>
          <w:trHeight w:val="300"/>
        </w:trPr>
        <w:tc>
          <w:tcPr>
            <w:tcW w:w="1560" w:type="dxa"/>
            <w:tcBorders>
              <w:top w:val="nil"/>
              <w:left w:val="nil"/>
              <w:bottom w:val="nil"/>
              <w:right w:val="nil"/>
            </w:tcBorders>
            <w:shd w:val="clear" w:color="000000" w:fill="CAE7F3"/>
            <w:noWrap/>
            <w:hideMark/>
          </w:tcPr>
          <w:p w14:paraId="6904A23C" w14:textId="47D6A917" w:rsidR="00470142" w:rsidRPr="00C4739F" w:rsidRDefault="00470142" w:rsidP="00470142">
            <w:pPr>
              <w:spacing w:after="0" w:line="480" w:lineRule="auto"/>
              <w:ind w:left="0"/>
              <w:jc w:val="left"/>
              <w:rPr>
                <w:rFonts w:eastAsia="Times New Roman" w:cs="Arial"/>
                <w:sz w:val="18"/>
                <w:szCs w:val="18"/>
                <w:lang w:eastAsia="en-AU"/>
              </w:rPr>
            </w:pPr>
            <w:r w:rsidRPr="00FB0286">
              <w:rPr>
                <w:sz w:val="18"/>
                <w:szCs w:val="18"/>
              </w:rPr>
              <w:t>Other</w:t>
            </w:r>
          </w:p>
        </w:tc>
        <w:tc>
          <w:tcPr>
            <w:tcW w:w="992" w:type="dxa"/>
            <w:tcBorders>
              <w:top w:val="nil"/>
              <w:left w:val="nil"/>
              <w:bottom w:val="nil"/>
              <w:right w:val="nil"/>
            </w:tcBorders>
            <w:shd w:val="clear" w:color="000000" w:fill="CAE7F3"/>
            <w:noWrap/>
            <w:hideMark/>
          </w:tcPr>
          <w:p w14:paraId="71D0CD22" w14:textId="1121A1EA"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46.0</w:t>
            </w:r>
          </w:p>
        </w:tc>
        <w:tc>
          <w:tcPr>
            <w:tcW w:w="1417" w:type="dxa"/>
            <w:tcBorders>
              <w:top w:val="nil"/>
              <w:left w:val="nil"/>
              <w:bottom w:val="nil"/>
              <w:right w:val="nil"/>
            </w:tcBorders>
            <w:shd w:val="clear" w:color="000000" w:fill="CAE7F3"/>
            <w:noWrap/>
            <w:hideMark/>
          </w:tcPr>
          <w:p w14:paraId="725A7C6C" w14:textId="524D3738"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1.1</w:t>
            </w:r>
          </w:p>
        </w:tc>
        <w:tc>
          <w:tcPr>
            <w:tcW w:w="284" w:type="dxa"/>
            <w:tcBorders>
              <w:top w:val="nil"/>
              <w:left w:val="nil"/>
              <w:bottom w:val="nil"/>
              <w:right w:val="nil"/>
            </w:tcBorders>
            <w:shd w:val="clear" w:color="000000" w:fill="CAE7F3"/>
            <w:noWrap/>
            <w:hideMark/>
          </w:tcPr>
          <w:p w14:paraId="14642ACE" w14:textId="77777777" w:rsidR="00470142" w:rsidRPr="00C4739F" w:rsidRDefault="00470142" w:rsidP="00470142">
            <w:pPr>
              <w:spacing w:after="0" w:line="360" w:lineRule="auto"/>
              <w:ind w:left="0"/>
              <w:jc w:val="right"/>
              <w:rPr>
                <w:rFonts w:eastAsia="Times New Roman" w:cs="Arial"/>
                <w:sz w:val="18"/>
                <w:szCs w:val="18"/>
                <w:lang w:eastAsia="en-AU"/>
              </w:rPr>
            </w:pPr>
          </w:p>
        </w:tc>
        <w:tc>
          <w:tcPr>
            <w:tcW w:w="1417" w:type="dxa"/>
            <w:tcBorders>
              <w:top w:val="nil"/>
              <w:left w:val="nil"/>
              <w:bottom w:val="nil"/>
              <w:right w:val="nil"/>
            </w:tcBorders>
            <w:shd w:val="clear" w:color="000000" w:fill="CAE7F3"/>
          </w:tcPr>
          <w:p w14:paraId="61CAE625" w14:textId="774C356F"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-5.8</w:t>
            </w:r>
          </w:p>
        </w:tc>
        <w:tc>
          <w:tcPr>
            <w:tcW w:w="1134" w:type="dxa"/>
            <w:tcBorders>
              <w:top w:val="nil"/>
              <w:left w:val="nil"/>
              <w:bottom w:val="nil"/>
              <w:right w:val="nil"/>
            </w:tcBorders>
            <w:shd w:val="clear" w:color="000000" w:fill="CAE7F3"/>
            <w:noWrap/>
            <w:hideMark/>
          </w:tcPr>
          <w:p w14:paraId="3FEBF3F5" w14:textId="41AAD836" w:rsidR="00470142" w:rsidRPr="00C4739F" w:rsidRDefault="00470142" w:rsidP="00470142">
            <w:pPr>
              <w:spacing w:after="0" w:line="360" w:lineRule="auto"/>
              <w:ind w:left="0"/>
              <w:jc w:val="right"/>
              <w:rPr>
                <w:rFonts w:eastAsia="Times New Roman" w:cs="Arial"/>
                <w:sz w:val="18"/>
                <w:szCs w:val="18"/>
                <w:lang w:eastAsia="en-AU"/>
              </w:rPr>
            </w:pPr>
            <w:r w:rsidRPr="00FB0286">
              <w:rPr>
                <w:sz w:val="18"/>
                <w:szCs w:val="18"/>
              </w:rPr>
              <w:t>-3.5</w:t>
            </w:r>
          </w:p>
        </w:tc>
      </w:tr>
      <w:tr w:rsidR="00470142" w:rsidRPr="001F1F3C" w14:paraId="5E0558A0" w14:textId="77777777" w:rsidTr="00FB0286">
        <w:trPr>
          <w:trHeight w:val="300"/>
        </w:trPr>
        <w:tc>
          <w:tcPr>
            <w:tcW w:w="1560" w:type="dxa"/>
            <w:tcBorders>
              <w:top w:val="nil"/>
              <w:left w:val="nil"/>
              <w:bottom w:val="nil"/>
              <w:right w:val="nil"/>
            </w:tcBorders>
            <w:shd w:val="clear" w:color="000000" w:fill="CAE7F3"/>
            <w:noWrap/>
            <w:hideMark/>
          </w:tcPr>
          <w:p w14:paraId="03E4716D" w14:textId="5235773E" w:rsidR="00470142" w:rsidRPr="00C4739F" w:rsidRDefault="00470142" w:rsidP="00470142">
            <w:pPr>
              <w:spacing w:after="0" w:line="360" w:lineRule="auto"/>
              <w:ind w:left="0"/>
              <w:jc w:val="left"/>
              <w:rPr>
                <w:rFonts w:eastAsia="Times New Roman" w:cs="Arial"/>
                <w:b/>
                <w:bCs/>
                <w:sz w:val="18"/>
                <w:szCs w:val="18"/>
                <w:lang w:eastAsia="en-AU"/>
              </w:rPr>
            </w:pPr>
            <w:r w:rsidRPr="00FB0286">
              <w:rPr>
                <w:b/>
                <w:sz w:val="18"/>
                <w:szCs w:val="18"/>
              </w:rPr>
              <w:t>Total</w:t>
            </w:r>
          </w:p>
        </w:tc>
        <w:tc>
          <w:tcPr>
            <w:tcW w:w="992" w:type="dxa"/>
            <w:tcBorders>
              <w:top w:val="nil"/>
              <w:left w:val="nil"/>
              <w:bottom w:val="nil"/>
              <w:right w:val="nil"/>
            </w:tcBorders>
            <w:shd w:val="clear" w:color="000000" w:fill="CAE7F3"/>
            <w:noWrap/>
            <w:hideMark/>
          </w:tcPr>
          <w:p w14:paraId="6DE00DD4" w14:textId="03A87DED" w:rsidR="00470142" w:rsidRPr="00C4739F" w:rsidRDefault="00470142" w:rsidP="00470142">
            <w:pPr>
              <w:spacing w:after="0" w:line="360" w:lineRule="auto"/>
              <w:ind w:left="0"/>
              <w:jc w:val="right"/>
              <w:rPr>
                <w:rFonts w:eastAsia="Times New Roman" w:cs="Arial"/>
                <w:b/>
                <w:sz w:val="18"/>
                <w:szCs w:val="18"/>
                <w:lang w:eastAsia="en-AU"/>
              </w:rPr>
            </w:pPr>
            <w:r w:rsidRPr="00FB0286">
              <w:rPr>
                <w:b/>
                <w:sz w:val="18"/>
                <w:szCs w:val="18"/>
              </w:rPr>
              <w:t>4</w:t>
            </w:r>
            <w:r w:rsidR="002E37A1">
              <w:rPr>
                <w:b/>
                <w:sz w:val="18"/>
                <w:szCs w:val="18"/>
              </w:rPr>
              <w:t>,</w:t>
            </w:r>
            <w:r w:rsidRPr="00FB0286">
              <w:rPr>
                <w:b/>
                <w:sz w:val="18"/>
                <w:szCs w:val="18"/>
              </w:rPr>
              <w:t>247.2</w:t>
            </w:r>
          </w:p>
        </w:tc>
        <w:tc>
          <w:tcPr>
            <w:tcW w:w="1417" w:type="dxa"/>
            <w:tcBorders>
              <w:top w:val="nil"/>
              <w:left w:val="nil"/>
              <w:bottom w:val="nil"/>
              <w:right w:val="nil"/>
            </w:tcBorders>
            <w:shd w:val="clear" w:color="000000" w:fill="CAE7F3"/>
            <w:noWrap/>
            <w:hideMark/>
          </w:tcPr>
          <w:p w14:paraId="477F76CD" w14:textId="0A86D69F" w:rsidR="00470142" w:rsidRPr="00C4739F" w:rsidRDefault="00470142" w:rsidP="00470142">
            <w:pPr>
              <w:spacing w:after="0" w:line="360" w:lineRule="auto"/>
              <w:ind w:left="0"/>
              <w:jc w:val="right"/>
              <w:rPr>
                <w:rFonts w:eastAsia="Times New Roman" w:cs="Arial"/>
                <w:b/>
                <w:sz w:val="18"/>
                <w:szCs w:val="18"/>
                <w:lang w:eastAsia="en-AU"/>
              </w:rPr>
            </w:pPr>
            <w:r w:rsidRPr="00FB0286">
              <w:rPr>
                <w:b/>
                <w:sz w:val="18"/>
                <w:szCs w:val="18"/>
              </w:rPr>
              <w:t>100.0</w:t>
            </w:r>
          </w:p>
        </w:tc>
        <w:tc>
          <w:tcPr>
            <w:tcW w:w="284" w:type="dxa"/>
            <w:tcBorders>
              <w:top w:val="nil"/>
              <w:left w:val="nil"/>
              <w:bottom w:val="nil"/>
              <w:right w:val="nil"/>
            </w:tcBorders>
            <w:shd w:val="clear" w:color="000000" w:fill="CAE7F3"/>
            <w:noWrap/>
            <w:hideMark/>
          </w:tcPr>
          <w:p w14:paraId="7FFD68D1" w14:textId="71E45831" w:rsidR="00470142" w:rsidRPr="00C4739F" w:rsidRDefault="00470142" w:rsidP="00470142">
            <w:pPr>
              <w:spacing w:after="0" w:line="360" w:lineRule="auto"/>
              <w:ind w:left="0"/>
              <w:jc w:val="right"/>
              <w:rPr>
                <w:rFonts w:eastAsia="Times New Roman" w:cs="Arial"/>
                <w:b/>
                <w:sz w:val="18"/>
                <w:szCs w:val="18"/>
                <w:lang w:eastAsia="en-AU"/>
              </w:rPr>
            </w:pPr>
          </w:p>
        </w:tc>
        <w:tc>
          <w:tcPr>
            <w:tcW w:w="1417" w:type="dxa"/>
            <w:tcBorders>
              <w:top w:val="nil"/>
              <w:left w:val="nil"/>
              <w:bottom w:val="nil"/>
              <w:right w:val="nil"/>
            </w:tcBorders>
            <w:shd w:val="clear" w:color="000000" w:fill="CAE7F3"/>
          </w:tcPr>
          <w:p w14:paraId="37AB0BAB" w14:textId="6018461C" w:rsidR="00470142" w:rsidRPr="00C4739F" w:rsidRDefault="00470142" w:rsidP="00470142">
            <w:pPr>
              <w:spacing w:after="0" w:line="360" w:lineRule="auto"/>
              <w:ind w:left="0"/>
              <w:jc w:val="right"/>
              <w:rPr>
                <w:rFonts w:eastAsia="Times New Roman" w:cs="Arial"/>
                <w:b/>
                <w:sz w:val="18"/>
                <w:szCs w:val="18"/>
                <w:lang w:eastAsia="en-AU"/>
              </w:rPr>
            </w:pPr>
            <w:r w:rsidRPr="00FB0286">
              <w:rPr>
                <w:b/>
                <w:sz w:val="18"/>
                <w:szCs w:val="18"/>
              </w:rPr>
              <w:t>2.5</w:t>
            </w:r>
          </w:p>
        </w:tc>
        <w:tc>
          <w:tcPr>
            <w:tcW w:w="1134" w:type="dxa"/>
            <w:tcBorders>
              <w:top w:val="nil"/>
              <w:left w:val="nil"/>
              <w:bottom w:val="nil"/>
              <w:right w:val="nil"/>
            </w:tcBorders>
            <w:shd w:val="clear" w:color="000000" w:fill="CAE7F3"/>
            <w:noWrap/>
            <w:hideMark/>
          </w:tcPr>
          <w:p w14:paraId="37EB6EC5" w14:textId="1E46992F" w:rsidR="00470142" w:rsidRPr="00C4739F" w:rsidRDefault="00470142" w:rsidP="00470142">
            <w:pPr>
              <w:spacing w:after="0" w:line="360" w:lineRule="auto"/>
              <w:ind w:left="0"/>
              <w:jc w:val="right"/>
              <w:rPr>
                <w:rFonts w:eastAsia="Times New Roman" w:cs="Arial"/>
                <w:b/>
                <w:sz w:val="18"/>
                <w:szCs w:val="18"/>
                <w:lang w:eastAsia="en-AU"/>
              </w:rPr>
            </w:pPr>
            <w:r w:rsidRPr="00FB0286">
              <w:rPr>
                <w:b/>
                <w:sz w:val="18"/>
                <w:szCs w:val="18"/>
              </w:rPr>
              <w:t>1.6</w:t>
            </w:r>
          </w:p>
        </w:tc>
      </w:tr>
    </w:tbl>
    <w:p w14:paraId="0E25E2E5" w14:textId="77777777" w:rsidR="001F4600" w:rsidRPr="001F1F3C" w:rsidRDefault="001F4600" w:rsidP="001F4600">
      <w:pPr>
        <w:pStyle w:val="Note"/>
        <w:rPr>
          <w:color w:val="595A5B" w:themeColor="text2"/>
        </w:rPr>
      </w:pPr>
      <w:r w:rsidRPr="001F1F3C">
        <w:rPr>
          <w:color w:val="595A5B" w:themeColor="text2"/>
        </w:rPr>
        <w:t>Notes: Energy consumption in some sectors differs from Table 3.3 due to exclusion of energy used in conversion activities.</w:t>
      </w:r>
    </w:p>
    <w:p w14:paraId="5E7E2CD4" w14:textId="0667DBEC" w:rsidR="001F4600" w:rsidRPr="001F1F3C" w:rsidRDefault="001F4600" w:rsidP="001F4600">
      <w:pPr>
        <w:pStyle w:val="Source"/>
        <w:rPr>
          <w:color w:val="595A5B" w:themeColor="text2"/>
        </w:rPr>
      </w:pPr>
      <w:r w:rsidRPr="001F1F3C">
        <w:rPr>
          <w:color w:val="595A5B" w:themeColor="text2"/>
        </w:rPr>
        <w:t xml:space="preserve">Source: </w:t>
      </w:r>
      <w:r w:rsidRPr="001F1F3C">
        <w:rPr>
          <w:color w:val="595A5B" w:themeColor="text2"/>
          <w:szCs w:val="16"/>
        </w:rPr>
        <w:t xml:space="preserve">Department of </w:t>
      </w:r>
      <w:r w:rsidR="005A4AAD" w:rsidRPr="001F1F3C">
        <w:rPr>
          <w:color w:val="595A5B" w:themeColor="text2"/>
          <w:szCs w:val="16"/>
        </w:rPr>
        <w:t>the Environment and Energy</w:t>
      </w:r>
      <w:r w:rsidRPr="001F1F3C">
        <w:rPr>
          <w:color w:val="595A5B" w:themeColor="text2"/>
          <w:szCs w:val="16"/>
        </w:rPr>
        <w:t xml:space="preserve"> (</w:t>
      </w:r>
      <w:r w:rsidR="003F2CCE" w:rsidRPr="001F1F3C">
        <w:rPr>
          <w:color w:val="595A5B" w:themeColor="text2"/>
          <w:szCs w:val="16"/>
        </w:rPr>
        <w:t>2018</w:t>
      </w:r>
      <w:r w:rsidRPr="001F1F3C">
        <w:rPr>
          <w:color w:val="595A5B" w:themeColor="text2"/>
        </w:rPr>
        <w:t xml:space="preserve">) </w:t>
      </w:r>
      <w:r w:rsidRPr="001F1F3C">
        <w:rPr>
          <w:i/>
          <w:color w:val="595A5B" w:themeColor="text2"/>
        </w:rPr>
        <w:t>Australian Energy Statistics</w:t>
      </w:r>
      <w:r w:rsidR="00993493" w:rsidRPr="001F1F3C">
        <w:rPr>
          <w:color w:val="595A5B" w:themeColor="text2"/>
        </w:rPr>
        <w:t xml:space="preserve">, </w:t>
      </w:r>
      <w:r w:rsidR="00993493" w:rsidRPr="001F1F3C">
        <w:rPr>
          <w:color w:val="595A5B" w:themeColor="text2"/>
        </w:rPr>
        <w:br/>
        <w:t>Table H</w:t>
      </w:r>
    </w:p>
    <w:p w14:paraId="7F011ECC" w14:textId="280C61C4" w:rsidR="005E5469" w:rsidRDefault="005E5469" w:rsidP="005E5469">
      <w:pPr>
        <w:pStyle w:val="BodyText"/>
      </w:pPr>
      <w:bookmarkStart w:id="96" w:name="_Toc392157284"/>
      <w:bookmarkStart w:id="97" w:name="_Toc427614397"/>
      <w:bookmarkStart w:id="98" w:name="_Toc428130031"/>
      <w:bookmarkStart w:id="99" w:name="_Toc522197026"/>
      <w:r w:rsidRPr="001F1F3C">
        <w:t xml:space="preserve">Final energy consumption in 2016–17 increased by </w:t>
      </w:r>
      <w:r>
        <w:t>3</w:t>
      </w:r>
      <w:r w:rsidRPr="001F1F3C">
        <w:t xml:space="preserve"> per cent</w:t>
      </w:r>
      <w:r>
        <w:t>, which is above the ten year average growth rate of 2 per cent</w:t>
      </w:r>
      <w:r w:rsidRPr="001F1F3C">
        <w:t xml:space="preserve"> (Table </w:t>
      </w:r>
      <w:r>
        <w:t>2</w:t>
      </w:r>
      <w:r w:rsidRPr="001F1F3C">
        <w:t xml:space="preserve">.7). </w:t>
      </w:r>
      <w:r w:rsidR="002E37A1">
        <w:t>In 2016–17, r</w:t>
      </w:r>
      <w:r>
        <w:t>efined products accounted for more than half of Australia’s final energy consumption, followed by electricity and natural gas.</w:t>
      </w:r>
    </w:p>
    <w:p w14:paraId="298A9F5A" w14:textId="77777777" w:rsidR="001F4600" w:rsidRPr="001F1F3C" w:rsidRDefault="00CF7D68" w:rsidP="001F4600">
      <w:pPr>
        <w:pStyle w:val="Heading2"/>
      </w:pPr>
      <w:bookmarkStart w:id="100" w:name="_Toc522633189"/>
      <w:r w:rsidRPr="001F1F3C">
        <w:t>Energy use, b</w:t>
      </w:r>
      <w:r w:rsidR="001F4600" w:rsidRPr="001F1F3C">
        <w:t xml:space="preserve">y </w:t>
      </w:r>
      <w:r w:rsidRPr="001F1F3C">
        <w:t>s</w:t>
      </w:r>
      <w:bookmarkEnd w:id="96"/>
      <w:bookmarkEnd w:id="97"/>
      <w:bookmarkEnd w:id="98"/>
      <w:r w:rsidRPr="001F1F3C">
        <w:t>tate and territory</w:t>
      </w:r>
      <w:bookmarkEnd w:id="99"/>
      <w:bookmarkEnd w:id="100"/>
    </w:p>
    <w:p w14:paraId="7C083EB8" w14:textId="00A4EF94" w:rsidR="0069435C" w:rsidRDefault="001F4600" w:rsidP="001F4600">
      <w:pPr>
        <w:pStyle w:val="BodyText"/>
      </w:pPr>
      <w:r w:rsidRPr="001F1F3C">
        <w:t xml:space="preserve">In </w:t>
      </w:r>
      <w:r w:rsidR="003F2CCE" w:rsidRPr="001F1F3C">
        <w:t>2016–17</w:t>
      </w:r>
      <w:r w:rsidRPr="001F1F3C">
        <w:t xml:space="preserve">, most growth in energy use was in </w:t>
      </w:r>
      <w:r w:rsidR="002A4487" w:rsidRPr="001F1F3C">
        <w:t>Western Australia</w:t>
      </w:r>
      <w:r w:rsidR="00F15A3A">
        <w:t xml:space="preserve"> and</w:t>
      </w:r>
      <w:r w:rsidR="002A4487" w:rsidRPr="001F1F3C">
        <w:t xml:space="preserve"> </w:t>
      </w:r>
      <w:r w:rsidRPr="001F1F3C">
        <w:t xml:space="preserve">Queensland, </w:t>
      </w:r>
      <w:r w:rsidR="002A4487" w:rsidRPr="001F1F3C">
        <w:t xml:space="preserve">while energy use in Victoria </w:t>
      </w:r>
      <w:r w:rsidR="00F15A3A">
        <w:t xml:space="preserve">and South Australia </w:t>
      </w:r>
      <w:r w:rsidR="002A4487" w:rsidRPr="001F1F3C">
        <w:t>fell</w:t>
      </w:r>
      <w:r w:rsidR="00CB19DA">
        <w:t xml:space="preserve"> (</w:t>
      </w:r>
      <w:r w:rsidR="00823AE6">
        <w:t>T</w:t>
      </w:r>
      <w:r w:rsidR="00CB19DA">
        <w:t xml:space="preserve">able </w:t>
      </w:r>
      <w:r w:rsidR="00823AE6">
        <w:t>2</w:t>
      </w:r>
      <w:r w:rsidR="00CB19DA">
        <w:t>.</w:t>
      </w:r>
      <w:r w:rsidR="00500838">
        <w:t>9</w:t>
      </w:r>
      <w:r w:rsidR="00CB19DA">
        <w:t>)</w:t>
      </w:r>
      <w:r w:rsidRPr="001F1F3C">
        <w:t>.</w:t>
      </w:r>
      <w:r w:rsidR="0069435C">
        <w:t xml:space="preserve"> </w:t>
      </w:r>
    </w:p>
    <w:p w14:paraId="35672669" w14:textId="22816474" w:rsidR="0069435C" w:rsidRDefault="00CB19DA" w:rsidP="001F4600">
      <w:pPr>
        <w:pStyle w:val="BodyText"/>
      </w:pPr>
      <w:r w:rsidRPr="001F1F3C">
        <w:t xml:space="preserve">Energy consumption in Western Australia rose by </w:t>
      </w:r>
      <w:r>
        <w:t>5</w:t>
      </w:r>
      <w:r w:rsidRPr="001F1F3C">
        <w:t xml:space="preserve"> per cent in 2016–17. </w:t>
      </w:r>
      <w:r>
        <w:t xml:space="preserve">Nearly all of this growth was in the </w:t>
      </w:r>
      <w:r w:rsidR="00823AE6">
        <w:t>m</w:t>
      </w:r>
      <w:r>
        <w:t xml:space="preserve">ining sector, </w:t>
      </w:r>
      <w:r w:rsidR="00C91BC3">
        <w:t xml:space="preserve">with </w:t>
      </w:r>
      <w:r>
        <w:t>consumption in most other sectors nearly flat.</w:t>
      </w:r>
      <w:r w:rsidR="0069435C">
        <w:t xml:space="preserve"> </w:t>
      </w:r>
      <w:r>
        <w:t xml:space="preserve">Queensland energy consumption grew by 4 per cent, with the largest increases in energy use in </w:t>
      </w:r>
      <w:r w:rsidR="00823AE6">
        <w:t>m</w:t>
      </w:r>
      <w:r>
        <w:t>ining, manufacturing, electricity generation and transport.</w:t>
      </w:r>
    </w:p>
    <w:p w14:paraId="76290E9F" w14:textId="03C12E1B" w:rsidR="00153764" w:rsidRDefault="00153764" w:rsidP="001F4600">
      <w:pPr>
        <w:pStyle w:val="BodyText"/>
      </w:pPr>
      <w:r w:rsidRPr="001F1F3C">
        <w:t xml:space="preserve">In Victoria, energy consumption fell </w:t>
      </w:r>
      <w:r w:rsidR="00500838">
        <w:t>2 per cent</w:t>
      </w:r>
      <w:r w:rsidRPr="001F1F3C">
        <w:t xml:space="preserve"> in 2016–17, reflecting </w:t>
      </w:r>
      <w:r>
        <w:t>the decline in brown coal consumption for electricity generation</w:t>
      </w:r>
      <w:r w:rsidR="00081F0D">
        <w:t xml:space="preserve"> </w:t>
      </w:r>
      <w:r w:rsidR="00BD203D">
        <w:t xml:space="preserve">after the closure of Hazelwood </w:t>
      </w:r>
      <w:r w:rsidR="00081F0D">
        <w:t>(Figure 2.8)</w:t>
      </w:r>
      <w:r>
        <w:t>.</w:t>
      </w:r>
      <w:r w:rsidR="00C91BC3" w:rsidRPr="00C91BC3">
        <w:t xml:space="preserve"> </w:t>
      </w:r>
      <w:r w:rsidR="00C91BC3" w:rsidRPr="001F1F3C">
        <w:t xml:space="preserve">South Australian energy consumption </w:t>
      </w:r>
      <w:r w:rsidR="00081F0D">
        <w:t>fell</w:t>
      </w:r>
      <w:r w:rsidR="0033249C">
        <w:t xml:space="preserve"> by 9</w:t>
      </w:r>
      <w:r w:rsidR="00C91BC3">
        <w:t xml:space="preserve"> per cent</w:t>
      </w:r>
      <w:r w:rsidR="00C91BC3" w:rsidRPr="001F1F3C">
        <w:t xml:space="preserve"> in 2016–17,</w:t>
      </w:r>
      <w:r w:rsidR="00C91BC3">
        <w:t xml:space="preserve"> some of which was </w:t>
      </w:r>
      <w:r w:rsidR="00081F0D">
        <w:t xml:space="preserve">also attributable to the </w:t>
      </w:r>
      <w:r w:rsidR="00BD203D">
        <w:t>closure</w:t>
      </w:r>
      <w:r w:rsidR="00081F0D">
        <w:t xml:space="preserve"> of coal-</w:t>
      </w:r>
      <w:r w:rsidR="00C91BC3">
        <w:t xml:space="preserve">fired electricity generation </w:t>
      </w:r>
      <w:r w:rsidR="00BD203D">
        <w:t xml:space="preserve">capacity </w:t>
      </w:r>
      <w:r w:rsidR="00C91BC3">
        <w:t>in South Australia.</w:t>
      </w:r>
    </w:p>
    <w:p w14:paraId="4E317672" w14:textId="43F80656" w:rsidR="0069435C" w:rsidRPr="001F1F3C" w:rsidRDefault="0069435C" w:rsidP="0069435C">
      <w:pPr>
        <w:pStyle w:val="BodyText"/>
      </w:pPr>
      <w:r w:rsidRPr="001F1F3C">
        <w:t xml:space="preserve">In New South Wales, energy consumption </w:t>
      </w:r>
      <w:r>
        <w:t>grew by 1 per cent</w:t>
      </w:r>
      <w:r w:rsidR="009D5AE5">
        <w:t xml:space="preserve"> in 2016–17</w:t>
      </w:r>
      <w:r>
        <w:t xml:space="preserve">. This growth was concentrated in the transport sector, with aviation turbine fuel contributing around half of total growth. </w:t>
      </w:r>
      <w:r w:rsidRPr="001F1F3C">
        <w:t xml:space="preserve">Tasmanian energy consumption </w:t>
      </w:r>
      <w:r w:rsidR="009D5AE5">
        <w:t>also rose slightly in 2016–17</w:t>
      </w:r>
      <w:r>
        <w:t>.</w:t>
      </w:r>
    </w:p>
    <w:p w14:paraId="70E1A343" w14:textId="37B7E3AF" w:rsidR="001F4600" w:rsidRPr="001F1F3C" w:rsidRDefault="00C1400E" w:rsidP="00C91BC3">
      <w:pPr>
        <w:pStyle w:val="Caption"/>
      </w:pPr>
      <w:bookmarkStart w:id="101" w:name="_Toc427790836"/>
      <w:bookmarkStart w:id="102" w:name="_Toc461142063"/>
      <w:bookmarkStart w:id="103" w:name="_Toc522199777"/>
      <w:bookmarkStart w:id="104" w:name="_Toc522635721"/>
      <w:r>
        <w:lastRenderedPageBreak/>
        <w:t xml:space="preserve">Table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t>.</w:t>
      </w:r>
      <w:r w:rsidR="00941B67">
        <w:rPr>
          <w:noProof/>
        </w:rPr>
        <w:fldChar w:fldCharType="begin"/>
      </w:r>
      <w:r w:rsidR="00941B67">
        <w:rPr>
          <w:noProof/>
        </w:rPr>
        <w:instrText xml:space="preserve"> SEQ Table \* ARABIC \s 1 </w:instrText>
      </w:r>
      <w:r w:rsidR="00941B67">
        <w:rPr>
          <w:noProof/>
        </w:rPr>
        <w:fldChar w:fldCharType="separate"/>
      </w:r>
      <w:r w:rsidR="00D72ABB">
        <w:rPr>
          <w:noProof/>
        </w:rPr>
        <w:t>9</w:t>
      </w:r>
      <w:r w:rsidR="00941B67">
        <w:rPr>
          <w:noProof/>
        </w:rPr>
        <w:fldChar w:fldCharType="end"/>
      </w:r>
      <w:r>
        <w:t xml:space="preserve">: </w:t>
      </w:r>
      <w:r w:rsidR="001F4600" w:rsidRPr="001F1F3C">
        <w:t>Australian energy consumption, by state and territory</w:t>
      </w:r>
      <w:bookmarkEnd w:id="101"/>
      <w:bookmarkEnd w:id="102"/>
      <w:bookmarkEnd w:id="103"/>
      <w:bookmarkEnd w:id="104"/>
    </w:p>
    <w:tbl>
      <w:tblPr>
        <w:tblW w:w="6894" w:type="dxa"/>
        <w:tblLook w:val="04A0" w:firstRow="1" w:lastRow="0" w:firstColumn="1" w:lastColumn="0" w:noHBand="0" w:noVBand="1"/>
      </w:tblPr>
      <w:tblGrid>
        <w:gridCol w:w="1985"/>
        <w:gridCol w:w="961"/>
        <w:gridCol w:w="1198"/>
        <w:gridCol w:w="343"/>
        <w:gridCol w:w="1200"/>
        <w:gridCol w:w="1207"/>
      </w:tblGrid>
      <w:tr w:rsidR="00A07DBE" w:rsidRPr="001F1F3C" w14:paraId="2044FDD6" w14:textId="77777777" w:rsidTr="00FB0286">
        <w:trPr>
          <w:trHeight w:val="285"/>
        </w:trPr>
        <w:tc>
          <w:tcPr>
            <w:tcW w:w="1985" w:type="dxa"/>
            <w:tcBorders>
              <w:top w:val="nil"/>
              <w:left w:val="nil"/>
              <w:bottom w:val="nil"/>
              <w:right w:val="nil"/>
            </w:tcBorders>
            <w:shd w:val="clear" w:color="000000" w:fill="22789A"/>
            <w:noWrap/>
            <w:vAlign w:val="bottom"/>
            <w:hideMark/>
          </w:tcPr>
          <w:p w14:paraId="1B41260C" w14:textId="77777777" w:rsidR="00A07DBE" w:rsidRPr="001F1F3C" w:rsidRDefault="00A07DBE" w:rsidP="00C91BC3">
            <w:pPr>
              <w:keepNext/>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159" w:type="dxa"/>
            <w:gridSpan w:val="2"/>
            <w:tcBorders>
              <w:top w:val="nil"/>
              <w:left w:val="nil"/>
              <w:bottom w:val="nil"/>
              <w:right w:val="nil"/>
            </w:tcBorders>
            <w:shd w:val="clear" w:color="000000" w:fill="22789A"/>
            <w:noWrap/>
            <w:vAlign w:val="center"/>
            <w:hideMark/>
          </w:tcPr>
          <w:p w14:paraId="2D5D52A2" w14:textId="282F9081" w:rsidR="00A07DBE" w:rsidRPr="001F1F3C" w:rsidRDefault="003F2CCE" w:rsidP="00C91BC3">
            <w:pPr>
              <w:keepNext/>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2016–17</w:t>
            </w:r>
          </w:p>
        </w:tc>
        <w:tc>
          <w:tcPr>
            <w:tcW w:w="343" w:type="dxa"/>
            <w:tcBorders>
              <w:top w:val="nil"/>
              <w:left w:val="nil"/>
              <w:bottom w:val="nil"/>
              <w:right w:val="nil"/>
            </w:tcBorders>
            <w:shd w:val="clear" w:color="000000" w:fill="22789A"/>
            <w:noWrap/>
            <w:vAlign w:val="bottom"/>
            <w:hideMark/>
          </w:tcPr>
          <w:p w14:paraId="7037D422" w14:textId="77777777" w:rsidR="00A07DBE" w:rsidRPr="001F1F3C" w:rsidRDefault="00A07DBE" w:rsidP="00C91BC3">
            <w:pPr>
              <w:keepNext/>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407" w:type="dxa"/>
            <w:gridSpan w:val="2"/>
            <w:tcBorders>
              <w:top w:val="nil"/>
              <w:left w:val="nil"/>
              <w:bottom w:val="nil"/>
              <w:right w:val="nil"/>
            </w:tcBorders>
            <w:shd w:val="clear" w:color="000000" w:fill="22789A"/>
            <w:noWrap/>
            <w:vAlign w:val="center"/>
            <w:hideMark/>
          </w:tcPr>
          <w:p w14:paraId="28D220E7" w14:textId="77777777" w:rsidR="00A07DBE" w:rsidRPr="001F1F3C" w:rsidRDefault="00A07DBE" w:rsidP="00C91BC3">
            <w:pPr>
              <w:keepNext/>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Average annual growth</w:t>
            </w:r>
          </w:p>
        </w:tc>
      </w:tr>
      <w:tr w:rsidR="00A07DBE" w:rsidRPr="001F1F3C" w14:paraId="51C046ED" w14:textId="77777777" w:rsidTr="00FB0286">
        <w:trPr>
          <w:trHeight w:val="240"/>
        </w:trPr>
        <w:tc>
          <w:tcPr>
            <w:tcW w:w="1985" w:type="dxa"/>
            <w:vMerge w:val="restart"/>
            <w:tcBorders>
              <w:top w:val="nil"/>
              <w:left w:val="nil"/>
              <w:bottom w:val="nil"/>
              <w:right w:val="nil"/>
            </w:tcBorders>
            <w:shd w:val="clear" w:color="000000" w:fill="CAE7F3"/>
            <w:noWrap/>
            <w:vAlign w:val="bottom"/>
            <w:hideMark/>
          </w:tcPr>
          <w:p w14:paraId="11CAABE6" w14:textId="77777777" w:rsidR="00A07DBE" w:rsidRPr="001F1F3C" w:rsidRDefault="00A07DBE" w:rsidP="00C91BC3">
            <w:pPr>
              <w:keepNext/>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961" w:type="dxa"/>
            <w:vMerge w:val="restart"/>
            <w:tcBorders>
              <w:top w:val="nil"/>
              <w:left w:val="nil"/>
              <w:bottom w:val="nil"/>
              <w:right w:val="nil"/>
            </w:tcBorders>
            <w:shd w:val="clear" w:color="000000" w:fill="CAE7F3"/>
            <w:noWrap/>
            <w:vAlign w:val="center"/>
            <w:hideMark/>
          </w:tcPr>
          <w:p w14:paraId="27315007" w14:textId="77777777" w:rsidR="00A07DBE" w:rsidRPr="001F1F3C" w:rsidRDefault="00A07DBE" w:rsidP="00C91BC3">
            <w:pPr>
              <w:keepNext/>
              <w:spacing w:after="0" w:line="360" w:lineRule="auto"/>
              <w:ind w:left="0"/>
              <w:jc w:val="right"/>
              <w:rPr>
                <w:rFonts w:eastAsia="Times New Roman" w:cs="Arial"/>
                <w:sz w:val="18"/>
                <w:szCs w:val="18"/>
                <w:lang w:eastAsia="en-AU"/>
              </w:rPr>
            </w:pPr>
            <w:r w:rsidRPr="001F1F3C">
              <w:rPr>
                <w:rFonts w:eastAsia="Times New Roman" w:cs="Arial"/>
                <w:color w:val="595A5B" w:themeColor="text2"/>
                <w:sz w:val="18"/>
                <w:szCs w:val="18"/>
                <w:lang w:eastAsia="en-AU"/>
              </w:rPr>
              <w:t>PJ</w:t>
            </w:r>
          </w:p>
        </w:tc>
        <w:tc>
          <w:tcPr>
            <w:tcW w:w="1198" w:type="dxa"/>
            <w:tcBorders>
              <w:top w:val="nil"/>
              <w:left w:val="nil"/>
              <w:bottom w:val="nil"/>
              <w:right w:val="nil"/>
            </w:tcBorders>
            <w:shd w:val="clear" w:color="000000" w:fill="CAE7F3"/>
            <w:noWrap/>
            <w:vAlign w:val="center"/>
            <w:hideMark/>
          </w:tcPr>
          <w:p w14:paraId="29D7DC3C" w14:textId="77777777" w:rsidR="00A07DBE" w:rsidRPr="001F1F3C" w:rsidRDefault="00A07DBE" w:rsidP="00C91BC3">
            <w:pPr>
              <w:keepNext/>
              <w:spacing w:after="0" w:line="240" w:lineRule="auto"/>
              <w:ind w:left="0"/>
              <w:jc w:val="right"/>
              <w:rPr>
                <w:rFonts w:eastAsia="Times New Roman" w:cs="Arial"/>
                <w:sz w:val="18"/>
                <w:szCs w:val="18"/>
                <w:lang w:eastAsia="en-AU"/>
              </w:rPr>
            </w:pPr>
            <w:r w:rsidRPr="001F1F3C">
              <w:rPr>
                <w:rFonts w:eastAsia="Times New Roman" w:cs="Arial"/>
                <w:color w:val="595A5B" w:themeColor="text2"/>
                <w:sz w:val="18"/>
                <w:szCs w:val="18"/>
                <w:lang w:eastAsia="en-AU"/>
              </w:rPr>
              <w:t>share</w:t>
            </w:r>
          </w:p>
        </w:tc>
        <w:tc>
          <w:tcPr>
            <w:tcW w:w="343" w:type="dxa"/>
            <w:vMerge w:val="restart"/>
            <w:tcBorders>
              <w:top w:val="nil"/>
              <w:left w:val="nil"/>
              <w:bottom w:val="nil"/>
              <w:right w:val="nil"/>
            </w:tcBorders>
            <w:shd w:val="clear" w:color="000000" w:fill="CAE7F3"/>
            <w:noWrap/>
            <w:vAlign w:val="bottom"/>
            <w:hideMark/>
          </w:tcPr>
          <w:p w14:paraId="5928AC68" w14:textId="77777777" w:rsidR="00A07DBE" w:rsidRPr="001F1F3C" w:rsidRDefault="00A07DBE" w:rsidP="00C91BC3">
            <w:pPr>
              <w:keepNext/>
              <w:spacing w:after="0" w:line="24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1200" w:type="dxa"/>
            <w:tcBorders>
              <w:top w:val="nil"/>
              <w:left w:val="nil"/>
              <w:bottom w:val="nil"/>
              <w:right w:val="nil"/>
            </w:tcBorders>
            <w:shd w:val="clear" w:color="000000" w:fill="CAE7F3"/>
            <w:noWrap/>
            <w:vAlign w:val="center"/>
            <w:hideMark/>
          </w:tcPr>
          <w:p w14:paraId="086AFDFB" w14:textId="43C75C16" w:rsidR="00A07DBE" w:rsidRPr="001F1F3C" w:rsidRDefault="003F2CCE" w:rsidP="00C91BC3">
            <w:pPr>
              <w:keepNext/>
              <w:spacing w:after="0" w:line="240" w:lineRule="auto"/>
              <w:ind w:left="0"/>
              <w:jc w:val="right"/>
              <w:rPr>
                <w:rFonts w:eastAsia="Times New Roman" w:cs="Arial"/>
                <w:sz w:val="18"/>
                <w:szCs w:val="18"/>
                <w:lang w:eastAsia="en-AU"/>
              </w:rPr>
            </w:pPr>
            <w:r w:rsidRPr="001F1F3C">
              <w:rPr>
                <w:rFonts w:eastAsia="Times New Roman" w:cs="Arial"/>
                <w:color w:val="595A5B" w:themeColor="text2"/>
                <w:sz w:val="18"/>
                <w:szCs w:val="18"/>
                <w:lang w:eastAsia="en-AU"/>
              </w:rPr>
              <w:t>2016–17</w:t>
            </w:r>
          </w:p>
        </w:tc>
        <w:tc>
          <w:tcPr>
            <w:tcW w:w="1207" w:type="dxa"/>
            <w:tcBorders>
              <w:top w:val="nil"/>
              <w:left w:val="nil"/>
              <w:bottom w:val="nil"/>
              <w:right w:val="nil"/>
            </w:tcBorders>
            <w:shd w:val="clear" w:color="000000" w:fill="CAE7F3"/>
            <w:noWrap/>
            <w:vAlign w:val="center"/>
            <w:hideMark/>
          </w:tcPr>
          <w:p w14:paraId="0B9E44C1" w14:textId="77777777" w:rsidR="00A07DBE" w:rsidRPr="001F1F3C" w:rsidRDefault="00A07DBE" w:rsidP="00C91BC3">
            <w:pPr>
              <w:keepNext/>
              <w:spacing w:after="0" w:line="240" w:lineRule="auto"/>
              <w:ind w:left="0"/>
              <w:jc w:val="right"/>
              <w:rPr>
                <w:rFonts w:eastAsia="Times New Roman" w:cs="Arial"/>
                <w:sz w:val="18"/>
                <w:szCs w:val="18"/>
                <w:lang w:eastAsia="en-AU"/>
              </w:rPr>
            </w:pPr>
            <w:r w:rsidRPr="001F1F3C">
              <w:rPr>
                <w:rFonts w:eastAsia="Times New Roman" w:cs="Arial"/>
                <w:color w:val="595A5B" w:themeColor="text2"/>
                <w:sz w:val="18"/>
                <w:szCs w:val="18"/>
                <w:lang w:eastAsia="en-AU"/>
              </w:rPr>
              <w:t>10 years</w:t>
            </w:r>
          </w:p>
        </w:tc>
      </w:tr>
      <w:tr w:rsidR="00A07DBE" w:rsidRPr="001F1F3C" w14:paraId="32364D92" w14:textId="77777777" w:rsidTr="00FB0286">
        <w:trPr>
          <w:trHeight w:val="240"/>
        </w:trPr>
        <w:tc>
          <w:tcPr>
            <w:tcW w:w="1985" w:type="dxa"/>
            <w:vMerge/>
            <w:tcBorders>
              <w:top w:val="nil"/>
              <w:left w:val="nil"/>
              <w:bottom w:val="nil"/>
              <w:right w:val="nil"/>
            </w:tcBorders>
            <w:vAlign w:val="center"/>
            <w:hideMark/>
          </w:tcPr>
          <w:p w14:paraId="586DCF62" w14:textId="77777777" w:rsidR="00A07DBE" w:rsidRPr="001F1F3C" w:rsidRDefault="00A07DBE" w:rsidP="00A07DBE">
            <w:pPr>
              <w:spacing w:after="0" w:line="360" w:lineRule="auto"/>
              <w:ind w:left="0"/>
              <w:jc w:val="left"/>
              <w:rPr>
                <w:rFonts w:eastAsia="Times New Roman" w:cs="Arial"/>
                <w:color w:val="000000"/>
                <w:sz w:val="22"/>
                <w:lang w:eastAsia="en-AU"/>
              </w:rPr>
            </w:pPr>
          </w:p>
        </w:tc>
        <w:tc>
          <w:tcPr>
            <w:tcW w:w="961" w:type="dxa"/>
            <w:vMerge/>
            <w:tcBorders>
              <w:top w:val="nil"/>
              <w:left w:val="nil"/>
              <w:bottom w:val="nil"/>
              <w:right w:val="nil"/>
            </w:tcBorders>
            <w:vAlign w:val="center"/>
            <w:hideMark/>
          </w:tcPr>
          <w:p w14:paraId="07B9C1EA" w14:textId="77777777" w:rsidR="00A07DBE" w:rsidRPr="001F1F3C" w:rsidRDefault="00A07DBE" w:rsidP="00A07DBE">
            <w:pPr>
              <w:spacing w:after="0" w:line="360" w:lineRule="auto"/>
              <w:ind w:left="0"/>
              <w:jc w:val="left"/>
              <w:rPr>
                <w:rFonts w:eastAsia="Times New Roman" w:cs="Arial"/>
                <w:sz w:val="18"/>
                <w:szCs w:val="18"/>
                <w:lang w:eastAsia="en-AU"/>
              </w:rPr>
            </w:pPr>
          </w:p>
        </w:tc>
        <w:tc>
          <w:tcPr>
            <w:tcW w:w="1198" w:type="dxa"/>
            <w:tcBorders>
              <w:top w:val="nil"/>
              <w:left w:val="nil"/>
              <w:bottom w:val="nil"/>
              <w:right w:val="nil"/>
            </w:tcBorders>
            <w:shd w:val="clear" w:color="000000" w:fill="CAE7F3"/>
            <w:noWrap/>
            <w:vAlign w:val="center"/>
            <w:hideMark/>
          </w:tcPr>
          <w:p w14:paraId="7C50E347" w14:textId="77777777" w:rsidR="00A07DBE" w:rsidRPr="001F1F3C" w:rsidRDefault="00A07DBE" w:rsidP="00A07DBE">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c>
          <w:tcPr>
            <w:tcW w:w="343" w:type="dxa"/>
            <w:vMerge/>
            <w:tcBorders>
              <w:top w:val="nil"/>
              <w:left w:val="nil"/>
              <w:bottom w:val="nil"/>
              <w:right w:val="nil"/>
            </w:tcBorders>
            <w:vAlign w:val="center"/>
            <w:hideMark/>
          </w:tcPr>
          <w:p w14:paraId="462C209D" w14:textId="77777777" w:rsidR="00A07DBE" w:rsidRPr="001F1F3C" w:rsidRDefault="00A07DBE" w:rsidP="00A07DBE">
            <w:pPr>
              <w:spacing w:after="0" w:line="360" w:lineRule="auto"/>
              <w:ind w:left="0"/>
              <w:jc w:val="left"/>
              <w:rPr>
                <w:rFonts w:eastAsia="Times New Roman" w:cs="Arial"/>
                <w:color w:val="000000"/>
                <w:sz w:val="22"/>
                <w:lang w:eastAsia="en-AU"/>
              </w:rPr>
            </w:pPr>
          </w:p>
        </w:tc>
        <w:tc>
          <w:tcPr>
            <w:tcW w:w="1200" w:type="dxa"/>
            <w:tcBorders>
              <w:top w:val="nil"/>
              <w:left w:val="nil"/>
              <w:bottom w:val="nil"/>
              <w:right w:val="nil"/>
            </w:tcBorders>
            <w:shd w:val="clear" w:color="000000" w:fill="CAE7F3"/>
            <w:noWrap/>
            <w:vAlign w:val="center"/>
            <w:hideMark/>
          </w:tcPr>
          <w:p w14:paraId="25EC10C3" w14:textId="77777777" w:rsidR="00A07DBE" w:rsidRPr="001F1F3C" w:rsidRDefault="00A07DBE" w:rsidP="00A07DBE">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c>
          <w:tcPr>
            <w:tcW w:w="1207" w:type="dxa"/>
            <w:tcBorders>
              <w:top w:val="nil"/>
              <w:left w:val="nil"/>
              <w:bottom w:val="nil"/>
              <w:right w:val="nil"/>
            </w:tcBorders>
            <w:shd w:val="clear" w:color="000000" w:fill="CAE7F3"/>
            <w:noWrap/>
            <w:vAlign w:val="center"/>
            <w:hideMark/>
          </w:tcPr>
          <w:p w14:paraId="6C4BC7A1" w14:textId="77777777" w:rsidR="00A07DBE" w:rsidRPr="001F1F3C" w:rsidRDefault="00A07DBE" w:rsidP="00A07DBE">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r>
      <w:tr w:rsidR="00F15A3A" w:rsidRPr="001F1F3C" w14:paraId="1199D6FF" w14:textId="77777777" w:rsidTr="00FB0286">
        <w:trPr>
          <w:trHeight w:val="240"/>
        </w:trPr>
        <w:tc>
          <w:tcPr>
            <w:tcW w:w="1985" w:type="dxa"/>
            <w:tcBorders>
              <w:top w:val="nil"/>
              <w:left w:val="nil"/>
              <w:bottom w:val="nil"/>
              <w:right w:val="nil"/>
            </w:tcBorders>
            <w:shd w:val="clear" w:color="000000" w:fill="CAE7F3"/>
            <w:noWrap/>
            <w:hideMark/>
          </w:tcPr>
          <w:p w14:paraId="684AAB09" w14:textId="262CB5F4" w:rsidR="00F15A3A" w:rsidRPr="00C4739F" w:rsidRDefault="00F15A3A" w:rsidP="00F15A3A">
            <w:pPr>
              <w:spacing w:after="0" w:line="360" w:lineRule="auto"/>
              <w:ind w:left="0"/>
              <w:jc w:val="left"/>
              <w:rPr>
                <w:rFonts w:eastAsia="Times New Roman" w:cs="Arial"/>
                <w:sz w:val="18"/>
                <w:szCs w:val="18"/>
                <w:lang w:eastAsia="en-AU"/>
              </w:rPr>
            </w:pPr>
            <w:r w:rsidRPr="00FB0286">
              <w:rPr>
                <w:sz w:val="18"/>
                <w:szCs w:val="18"/>
              </w:rPr>
              <w:t xml:space="preserve">New South Wales </w:t>
            </w:r>
            <w:r w:rsidRPr="0033249C">
              <w:rPr>
                <w:sz w:val="18"/>
                <w:szCs w:val="18"/>
                <w:vertAlign w:val="superscript"/>
              </w:rPr>
              <w:t>a</w:t>
            </w:r>
          </w:p>
        </w:tc>
        <w:tc>
          <w:tcPr>
            <w:tcW w:w="961" w:type="dxa"/>
            <w:tcBorders>
              <w:top w:val="nil"/>
              <w:left w:val="nil"/>
              <w:bottom w:val="nil"/>
              <w:right w:val="nil"/>
            </w:tcBorders>
            <w:shd w:val="clear" w:color="000000" w:fill="CAE7F3"/>
            <w:noWrap/>
            <w:hideMark/>
          </w:tcPr>
          <w:p w14:paraId="13905FAC" w14:textId="1C4D141B"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1,530.6 </w:t>
            </w:r>
          </w:p>
        </w:tc>
        <w:tc>
          <w:tcPr>
            <w:tcW w:w="1198" w:type="dxa"/>
            <w:tcBorders>
              <w:top w:val="nil"/>
              <w:left w:val="nil"/>
              <w:bottom w:val="nil"/>
              <w:right w:val="nil"/>
            </w:tcBorders>
            <w:shd w:val="clear" w:color="000000" w:fill="CAE7F3"/>
            <w:noWrap/>
            <w:hideMark/>
          </w:tcPr>
          <w:p w14:paraId="24B31670" w14:textId="540907B4"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24.9</w:t>
            </w:r>
          </w:p>
        </w:tc>
        <w:tc>
          <w:tcPr>
            <w:tcW w:w="343" w:type="dxa"/>
            <w:tcBorders>
              <w:top w:val="nil"/>
              <w:left w:val="nil"/>
              <w:bottom w:val="nil"/>
              <w:right w:val="nil"/>
            </w:tcBorders>
            <w:shd w:val="clear" w:color="000000" w:fill="CAE7F3"/>
            <w:noWrap/>
            <w:hideMark/>
          </w:tcPr>
          <w:p w14:paraId="05708F12" w14:textId="7979718F" w:rsidR="00F15A3A" w:rsidRPr="00C4739F" w:rsidRDefault="00F15A3A" w:rsidP="00F15A3A">
            <w:pPr>
              <w:spacing w:after="0" w:line="360" w:lineRule="auto"/>
              <w:ind w:left="0"/>
              <w:jc w:val="right"/>
              <w:rPr>
                <w:rFonts w:eastAsia="Times New Roman" w:cs="Arial"/>
                <w:sz w:val="18"/>
                <w:szCs w:val="18"/>
                <w:lang w:eastAsia="en-AU"/>
              </w:rPr>
            </w:pPr>
          </w:p>
        </w:tc>
        <w:tc>
          <w:tcPr>
            <w:tcW w:w="1200" w:type="dxa"/>
            <w:tcBorders>
              <w:top w:val="nil"/>
              <w:left w:val="nil"/>
              <w:bottom w:val="nil"/>
              <w:right w:val="nil"/>
            </w:tcBorders>
            <w:shd w:val="clear" w:color="000000" w:fill="CAE7F3"/>
            <w:noWrap/>
            <w:hideMark/>
          </w:tcPr>
          <w:p w14:paraId="4A2D6AD9" w14:textId="43066DBD"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1.0</w:t>
            </w:r>
          </w:p>
        </w:tc>
        <w:tc>
          <w:tcPr>
            <w:tcW w:w="1207" w:type="dxa"/>
            <w:tcBorders>
              <w:top w:val="nil"/>
              <w:left w:val="nil"/>
              <w:bottom w:val="nil"/>
              <w:right w:val="nil"/>
            </w:tcBorders>
            <w:shd w:val="clear" w:color="000000" w:fill="CAE7F3"/>
            <w:noWrap/>
            <w:hideMark/>
          </w:tcPr>
          <w:p w14:paraId="4B68E158" w14:textId="24A67D3A"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-0.6</w:t>
            </w:r>
          </w:p>
        </w:tc>
      </w:tr>
      <w:tr w:rsidR="00F15A3A" w:rsidRPr="001F1F3C" w14:paraId="23A144C7" w14:textId="77777777" w:rsidTr="00FB0286">
        <w:trPr>
          <w:trHeight w:val="240"/>
        </w:trPr>
        <w:tc>
          <w:tcPr>
            <w:tcW w:w="1985" w:type="dxa"/>
            <w:tcBorders>
              <w:top w:val="nil"/>
              <w:left w:val="nil"/>
              <w:bottom w:val="nil"/>
              <w:right w:val="nil"/>
            </w:tcBorders>
            <w:shd w:val="clear" w:color="000000" w:fill="CAE7F3"/>
            <w:noWrap/>
            <w:hideMark/>
          </w:tcPr>
          <w:p w14:paraId="55D9A8F0" w14:textId="48B3FF11" w:rsidR="00F15A3A" w:rsidRPr="00C4739F" w:rsidRDefault="00F15A3A" w:rsidP="00F15A3A">
            <w:pPr>
              <w:spacing w:after="0" w:line="360" w:lineRule="auto"/>
              <w:ind w:left="0"/>
              <w:jc w:val="left"/>
              <w:rPr>
                <w:rFonts w:eastAsia="Times New Roman" w:cs="Arial"/>
                <w:sz w:val="18"/>
                <w:szCs w:val="18"/>
                <w:lang w:eastAsia="en-AU"/>
              </w:rPr>
            </w:pPr>
            <w:r w:rsidRPr="00FB0286">
              <w:rPr>
                <w:sz w:val="18"/>
                <w:szCs w:val="18"/>
              </w:rPr>
              <w:t>Victoria</w:t>
            </w:r>
          </w:p>
        </w:tc>
        <w:tc>
          <w:tcPr>
            <w:tcW w:w="961" w:type="dxa"/>
            <w:tcBorders>
              <w:top w:val="nil"/>
              <w:left w:val="nil"/>
              <w:bottom w:val="nil"/>
              <w:right w:val="nil"/>
            </w:tcBorders>
            <w:shd w:val="clear" w:color="000000" w:fill="CAE7F3"/>
            <w:noWrap/>
            <w:hideMark/>
          </w:tcPr>
          <w:p w14:paraId="1A32D0C9" w14:textId="3C4D0711"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1,404.3 </w:t>
            </w:r>
          </w:p>
        </w:tc>
        <w:tc>
          <w:tcPr>
            <w:tcW w:w="1198" w:type="dxa"/>
            <w:tcBorders>
              <w:top w:val="nil"/>
              <w:left w:val="nil"/>
              <w:bottom w:val="nil"/>
              <w:right w:val="nil"/>
            </w:tcBorders>
            <w:shd w:val="clear" w:color="000000" w:fill="CAE7F3"/>
            <w:noWrap/>
            <w:hideMark/>
          </w:tcPr>
          <w:p w14:paraId="2A808171" w14:textId="7214F37C"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22.8</w:t>
            </w:r>
          </w:p>
        </w:tc>
        <w:tc>
          <w:tcPr>
            <w:tcW w:w="343" w:type="dxa"/>
            <w:tcBorders>
              <w:top w:val="nil"/>
              <w:left w:val="nil"/>
              <w:bottom w:val="nil"/>
              <w:right w:val="nil"/>
            </w:tcBorders>
            <w:shd w:val="clear" w:color="000000" w:fill="CAE7F3"/>
            <w:noWrap/>
            <w:hideMark/>
          </w:tcPr>
          <w:p w14:paraId="1EF29E66" w14:textId="28CDD3DC" w:rsidR="00F15A3A" w:rsidRPr="00C4739F" w:rsidRDefault="00F15A3A" w:rsidP="00F15A3A">
            <w:pPr>
              <w:spacing w:after="0" w:line="360" w:lineRule="auto"/>
              <w:ind w:left="0"/>
              <w:jc w:val="right"/>
              <w:rPr>
                <w:rFonts w:eastAsia="Times New Roman" w:cs="Arial"/>
                <w:sz w:val="18"/>
                <w:szCs w:val="18"/>
                <w:lang w:eastAsia="en-AU"/>
              </w:rPr>
            </w:pPr>
          </w:p>
        </w:tc>
        <w:tc>
          <w:tcPr>
            <w:tcW w:w="1200" w:type="dxa"/>
            <w:tcBorders>
              <w:top w:val="nil"/>
              <w:left w:val="nil"/>
              <w:bottom w:val="nil"/>
              <w:right w:val="nil"/>
            </w:tcBorders>
            <w:shd w:val="clear" w:color="000000" w:fill="CAE7F3"/>
            <w:noWrap/>
            <w:hideMark/>
          </w:tcPr>
          <w:p w14:paraId="5CB37A6E" w14:textId="221EECF1" w:rsidR="00F15A3A" w:rsidRPr="00C4739F" w:rsidRDefault="00F15A3A">
            <w:pPr>
              <w:spacing w:after="0" w:line="360" w:lineRule="auto"/>
              <w:ind w:left="0"/>
              <w:jc w:val="right"/>
              <w:rPr>
                <w:rFonts w:eastAsia="Times New Roman" w:cs="Arial"/>
                <w:sz w:val="18"/>
                <w:szCs w:val="18"/>
                <w:lang w:eastAsia="en-AU"/>
              </w:rPr>
            </w:pPr>
            <w:r w:rsidRPr="00FB0286">
              <w:rPr>
                <w:sz w:val="18"/>
                <w:szCs w:val="18"/>
              </w:rPr>
              <w:t>-2.2</w:t>
            </w:r>
          </w:p>
        </w:tc>
        <w:tc>
          <w:tcPr>
            <w:tcW w:w="1207" w:type="dxa"/>
            <w:tcBorders>
              <w:top w:val="nil"/>
              <w:left w:val="nil"/>
              <w:bottom w:val="nil"/>
              <w:right w:val="nil"/>
            </w:tcBorders>
            <w:shd w:val="clear" w:color="000000" w:fill="CAE7F3"/>
            <w:noWrap/>
            <w:hideMark/>
          </w:tcPr>
          <w:p w14:paraId="6C6CC3D2" w14:textId="1774AF59"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-0.2</w:t>
            </w:r>
          </w:p>
        </w:tc>
      </w:tr>
      <w:tr w:rsidR="00F15A3A" w:rsidRPr="001F1F3C" w14:paraId="1A33AB7B" w14:textId="77777777" w:rsidTr="00FB0286">
        <w:trPr>
          <w:trHeight w:val="240"/>
        </w:trPr>
        <w:tc>
          <w:tcPr>
            <w:tcW w:w="1985" w:type="dxa"/>
            <w:tcBorders>
              <w:top w:val="nil"/>
              <w:left w:val="nil"/>
              <w:bottom w:val="nil"/>
              <w:right w:val="nil"/>
            </w:tcBorders>
            <w:shd w:val="clear" w:color="000000" w:fill="CAE7F3"/>
            <w:noWrap/>
            <w:hideMark/>
          </w:tcPr>
          <w:p w14:paraId="7CD858EF" w14:textId="7BE7DC2D" w:rsidR="00F15A3A" w:rsidRPr="00C4739F" w:rsidRDefault="00F15A3A" w:rsidP="00F15A3A">
            <w:pPr>
              <w:spacing w:after="0" w:line="360" w:lineRule="auto"/>
              <w:ind w:left="0"/>
              <w:jc w:val="left"/>
              <w:rPr>
                <w:rFonts w:eastAsia="Times New Roman" w:cs="Arial"/>
                <w:sz w:val="18"/>
                <w:szCs w:val="18"/>
                <w:lang w:eastAsia="en-AU"/>
              </w:rPr>
            </w:pPr>
            <w:r w:rsidRPr="00FB0286">
              <w:rPr>
                <w:sz w:val="18"/>
                <w:szCs w:val="18"/>
              </w:rPr>
              <w:t>Queensland</w:t>
            </w:r>
          </w:p>
        </w:tc>
        <w:tc>
          <w:tcPr>
            <w:tcW w:w="961" w:type="dxa"/>
            <w:tcBorders>
              <w:top w:val="nil"/>
              <w:left w:val="nil"/>
              <w:bottom w:val="nil"/>
              <w:right w:val="nil"/>
            </w:tcBorders>
            <w:shd w:val="clear" w:color="000000" w:fill="CAE7F3"/>
            <w:noWrap/>
            <w:hideMark/>
          </w:tcPr>
          <w:p w14:paraId="12D8D671" w14:textId="08F6B591"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1,533.8 </w:t>
            </w:r>
          </w:p>
        </w:tc>
        <w:tc>
          <w:tcPr>
            <w:tcW w:w="1198" w:type="dxa"/>
            <w:tcBorders>
              <w:top w:val="nil"/>
              <w:left w:val="nil"/>
              <w:bottom w:val="nil"/>
              <w:right w:val="nil"/>
            </w:tcBorders>
            <w:shd w:val="clear" w:color="000000" w:fill="CAE7F3"/>
            <w:noWrap/>
            <w:hideMark/>
          </w:tcPr>
          <w:p w14:paraId="23A76C38" w14:textId="7BA04208"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25.0</w:t>
            </w:r>
          </w:p>
        </w:tc>
        <w:tc>
          <w:tcPr>
            <w:tcW w:w="343" w:type="dxa"/>
            <w:tcBorders>
              <w:top w:val="nil"/>
              <w:left w:val="nil"/>
              <w:bottom w:val="nil"/>
              <w:right w:val="nil"/>
            </w:tcBorders>
            <w:shd w:val="clear" w:color="000000" w:fill="CAE7F3"/>
            <w:noWrap/>
            <w:hideMark/>
          </w:tcPr>
          <w:p w14:paraId="68EF588A" w14:textId="4E121C40" w:rsidR="00F15A3A" w:rsidRPr="00C4739F" w:rsidRDefault="00F15A3A" w:rsidP="00F15A3A">
            <w:pPr>
              <w:spacing w:after="0" w:line="360" w:lineRule="auto"/>
              <w:ind w:left="0"/>
              <w:jc w:val="right"/>
              <w:rPr>
                <w:rFonts w:eastAsia="Times New Roman" w:cs="Arial"/>
                <w:sz w:val="18"/>
                <w:szCs w:val="18"/>
                <w:lang w:eastAsia="en-AU"/>
              </w:rPr>
            </w:pPr>
          </w:p>
        </w:tc>
        <w:tc>
          <w:tcPr>
            <w:tcW w:w="1200" w:type="dxa"/>
            <w:tcBorders>
              <w:top w:val="nil"/>
              <w:left w:val="nil"/>
              <w:bottom w:val="nil"/>
              <w:right w:val="nil"/>
            </w:tcBorders>
            <w:shd w:val="clear" w:color="000000" w:fill="CAE7F3"/>
            <w:noWrap/>
            <w:hideMark/>
          </w:tcPr>
          <w:p w14:paraId="412488D0" w14:textId="27D29A18"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3.5</w:t>
            </w:r>
          </w:p>
        </w:tc>
        <w:tc>
          <w:tcPr>
            <w:tcW w:w="1207" w:type="dxa"/>
            <w:tcBorders>
              <w:top w:val="nil"/>
              <w:left w:val="nil"/>
              <w:bottom w:val="nil"/>
              <w:right w:val="nil"/>
            </w:tcBorders>
            <w:shd w:val="clear" w:color="000000" w:fill="CAE7F3"/>
            <w:noWrap/>
            <w:hideMark/>
          </w:tcPr>
          <w:p w14:paraId="31A175DF" w14:textId="556E5233"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1.9</w:t>
            </w:r>
          </w:p>
        </w:tc>
      </w:tr>
      <w:tr w:rsidR="00F15A3A" w:rsidRPr="001F1F3C" w14:paraId="1BAFE96F" w14:textId="77777777" w:rsidTr="00FB0286">
        <w:trPr>
          <w:trHeight w:val="240"/>
        </w:trPr>
        <w:tc>
          <w:tcPr>
            <w:tcW w:w="1985" w:type="dxa"/>
            <w:tcBorders>
              <w:top w:val="nil"/>
              <w:left w:val="nil"/>
              <w:bottom w:val="nil"/>
              <w:right w:val="nil"/>
            </w:tcBorders>
            <w:shd w:val="clear" w:color="000000" w:fill="CAE7F3"/>
            <w:noWrap/>
            <w:hideMark/>
          </w:tcPr>
          <w:p w14:paraId="4B463B64" w14:textId="0454534F" w:rsidR="00F15A3A" w:rsidRPr="00C4739F" w:rsidRDefault="00F15A3A" w:rsidP="00F15A3A">
            <w:pPr>
              <w:spacing w:after="0" w:line="360" w:lineRule="auto"/>
              <w:ind w:left="0"/>
              <w:jc w:val="left"/>
              <w:rPr>
                <w:rFonts w:eastAsia="Times New Roman" w:cs="Arial"/>
                <w:sz w:val="18"/>
                <w:szCs w:val="18"/>
                <w:lang w:eastAsia="en-AU"/>
              </w:rPr>
            </w:pPr>
            <w:r w:rsidRPr="00FB0286">
              <w:rPr>
                <w:sz w:val="18"/>
                <w:szCs w:val="18"/>
              </w:rPr>
              <w:t>Western Australia</w:t>
            </w:r>
          </w:p>
        </w:tc>
        <w:tc>
          <w:tcPr>
            <w:tcW w:w="961" w:type="dxa"/>
            <w:tcBorders>
              <w:top w:val="nil"/>
              <w:left w:val="nil"/>
              <w:bottom w:val="nil"/>
              <w:right w:val="nil"/>
            </w:tcBorders>
            <w:shd w:val="clear" w:color="000000" w:fill="CAE7F3"/>
            <w:noWrap/>
            <w:hideMark/>
          </w:tcPr>
          <w:p w14:paraId="60613D86" w14:textId="320CBCF1"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1,179.5 </w:t>
            </w:r>
          </w:p>
        </w:tc>
        <w:tc>
          <w:tcPr>
            <w:tcW w:w="1198" w:type="dxa"/>
            <w:tcBorders>
              <w:top w:val="nil"/>
              <w:left w:val="nil"/>
              <w:bottom w:val="nil"/>
              <w:right w:val="nil"/>
            </w:tcBorders>
            <w:shd w:val="clear" w:color="000000" w:fill="CAE7F3"/>
            <w:noWrap/>
            <w:hideMark/>
          </w:tcPr>
          <w:p w14:paraId="0D82217D" w14:textId="2DB928B7"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19.2</w:t>
            </w:r>
          </w:p>
        </w:tc>
        <w:tc>
          <w:tcPr>
            <w:tcW w:w="343" w:type="dxa"/>
            <w:tcBorders>
              <w:top w:val="nil"/>
              <w:left w:val="nil"/>
              <w:bottom w:val="nil"/>
              <w:right w:val="nil"/>
            </w:tcBorders>
            <w:shd w:val="clear" w:color="000000" w:fill="CAE7F3"/>
            <w:noWrap/>
            <w:hideMark/>
          </w:tcPr>
          <w:p w14:paraId="544B69C9" w14:textId="335BD30B" w:rsidR="00F15A3A" w:rsidRPr="00C4739F" w:rsidRDefault="00F15A3A" w:rsidP="00F15A3A">
            <w:pPr>
              <w:spacing w:after="0" w:line="360" w:lineRule="auto"/>
              <w:ind w:left="0"/>
              <w:jc w:val="right"/>
              <w:rPr>
                <w:rFonts w:eastAsia="Times New Roman" w:cs="Arial"/>
                <w:sz w:val="18"/>
                <w:szCs w:val="18"/>
                <w:lang w:eastAsia="en-AU"/>
              </w:rPr>
            </w:pPr>
          </w:p>
        </w:tc>
        <w:tc>
          <w:tcPr>
            <w:tcW w:w="1200" w:type="dxa"/>
            <w:tcBorders>
              <w:top w:val="nil"/>
              <w:left w:val="nil"/>
              <w:bottom w:val="nil"/>
              <w:right w:val="nil"/>
            </w:tcBorders>
            <w:shd w:val="clear" w:color="000000" w:fill="CAE7F3"/>
            <w:noWrap/>
            <w:hideMark/>
          </w:tcPr>
          <w:p w14:paraId="6C2638C1" w14:textId="64BC0950"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5.0</w:t>
            </w:r>
          </w:p>
        </w:tc>
        <w:tc>
          <w:tcPr>
            <w:tcW w:w="1207" w:type="dxa"/>
            <w:tcBorders>
              <w:top w:val="nil"/>
              <w:left w:val="nil"/>
              <w:bottom w:val="nil"/>
              <w:right w:val="nil"/>
            </w:tcBorders>
            <w:shd w:val="clear" w:color="000000" w:fill="CAE7F3"/>
            <w:noWrap/>
            <w:hideMark/>
          </w:tcPr>
          <w:p w14:paraId="115C442B" w14:textId="1CBE245F"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4.0</w:t>
            </w:r>
          </w:p>
        </w:tc>
      </w:tr>
      <w:tr w:rsidR="00F15A3A" w:rsidRPr="001F1F3C" w14:paraId="5C34F4B1" w14:textId="77777777" w:rsidTr="00FB0286">
        <w:trPr>
          <w:trHeight w:val="240"/>
        </w:trPr>
        <w:tc>
          <w:tcPr>
            <w:tcW w:w="1985" w:type="dxa"/>
            <w:tcBorders>
              <w:top w:val="nil"/>
              <w:left w:val="nil"/>
              <w:bottom w:val="nil"/>
              <w:right w:val="nil"/>
            </w:tcBorders>
            <w:shd w:val="clear" w:color="000000" w:fill="CAE7F3"/>
            <w:noWrap/>
            <w:hideMark/>
          </w:tcPr>
          <w:p w14:paraId="469B0990" w14:textId="45860FFA" w:rsidR="00F15A3A" w:rsidRPr="00C4739F" w:rsidRDefault="00F15A3A" w:rsidP="00F15A3A">
            <w:pPr>
              <w:spacing w:after="0" w:line="360" w:lineRule="auto"/>
              <w:ind w:left="0"/>
              <w:jc w:val="left"/>
              <w:rPr>
                <w:rFonts w:eastAsia="Times New Roman" w:cs="Arial"/>
                <w:sz w:val="18"/>
                <w:szCs w:val="18"/>
                <w:lang w:eastAsia="en-AU"/>
              </w:rPr>
            </w:pPr>
            <w:r w:rsidRPr="00FB0286">
              <w:rPr>
                <w:sz w:val="18"/>
                <w:szCs w:val="18"/>
              </w:rPr>
              <w:t>South Australia</w:t>
            </w:r>
          </w:p>
        </w:tc>
        <w:tc>
          <w:tcPr>
            <w:tcW w:w="961" w:type="dxa"/>
            <w:tcBorders>
              <w:top w:val="nil"/>
              <w:left w:val="nil"/>
              <w:bottom w:val="nil"/>
              <w:right w:val="nil"/>
            </w:tcBorders>
            <w:shd w:val="clear" w:color="000000" w:fill="CAE7F3"/>
            <w:noWrap/>
            <w:hideMark/>
          </w:tcPr>
          <w:p w14:paraId="44CAA2AB" w14:textId="431FBDE4"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304.7 </w:t>
            </w:r>
          </w:p>
        </w:tc>
        <w:tc>
          <w:tcPr>
            <w:tcW w:w="1198" w:type="dxa"/>
            <w:tcBorders>
              <w:top w:val="nil"/>
              <w:left w:val="nil"/>
              <w:bottom w:val="nil"/>
              <w:right w:val="nil"/>
            </w:tcBorders>
            <w:shd w:val="clear" w:color="000000" w:fill="CAE7F3"/>
            <w:noWrap/>
            <w:hideMark/>
          </w:tcPr>
          <w:p w14:paraId="2CCF4D4B" w14:textId="33C4A607"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5.0</w:t>
            </w:r>
          </w:p>
        </w:tc>
        <w:tc>
          <w:tcPr>
            <w:tcW w:w="343" w:type="dxa"/>
            <w:tcBorders>
              <w:top w:val="nil"/>
              <w:left w:val="nil"/>
              <w:bottom w:val="nil"/>
              <w:right w:val="nil"/>
            </w:tcBorders>
            <w:shd w:val="clear" w:color="000000" w:fill="CAE7F3"/>
            <w:noWrap/>
            <w:hideMark/>
          </w:tcPr>
          <w:p w14:paraId="27D5018D" w14:textId="1A2217FD" w:rsidR="00F15A3A" w:rsidRPr="00C4739F" w:rsidRDefault="00F15A3A" w:rsidP="00F15A3A">
            <w:pPr>
              <w:spacing w:after="0" w:line="360" w:lineRule="auto"/>
              <w:ind w:left="0"/>
              <w:jc w:val="right"/>
              <w:rPr>
                <w:rFonts w:eastAsia="Times New Roman" w:cs="Arial"/>
                <w:sz w:val="18"/>
                <w:szCs w:val="18"/>
                <w:lang w:eastAsia="en-AU"/>
              </w:rPr>
            </w:pPr>
          </w:p>
        </w:tc>
        <w:tc>
          <w:tcPr>
            <w:tcW w:w="1200" w:type="dxa"/>
            <w:tcBorders>
              <w:top w:val="nil"/>
              <w:left w:val="nil"/>
              <w:bottom w:val="nil"/>
              <w:right w:val="nil"/>
            </w:tcBorders>
            <w:shd w:val="clear" w:color="000000" w:fill="CAE7F3"/>
            <w:noWrap/>
            <w:hideMark/>
          </w:tcPr>
          <w:p w14:paraId="31A946C1" w14:textId="72779BFB"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-8.6</w:t>
            </w:r>
          </w:p>
        </w:tc>
        <w:tc>
          <w:tcPr>
            <w:tcW w:w="1207" w:type="dxa"/>
            <w:tcBorders>
              <w:top w:val="nil"/>
              <w:left w:val="nil"/>
              <w:bottom w:val="nil"/>
              <w:right w:val="nil"/>
            </w:tcBorders>
            <w:shd w:val="clear" w:color="000000" w:fill="CAE7F3"/>
            <w:noWrap/>
            <w:hideMark/>
          </w:tcPr>
          <w:p w14:paraId="460C2D5C" w14:textId="71A7E44A"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-2.2</w:t>
            </w:r>
          </w:p>
        </w:tc>
      </w:tr>
      <w:tr w:rsidR="00F15A3A" w:rsidRPr="001F1F3C" w14:paraId="037252AC" w14:textId="77777777" w:rsidTr="00FB0286">
        <w:trPr>
          <w:trHeight w:val="240"/>
        </w:trPr>
        <w:tc>
          <w:tcPr>
            <w:tcW w:w="1985" w:type="dxa"/>
            <w:tcBorders>
              <w:top w:val="nil"/>
              <w:left w:val="nil"/>
              <w:bottom w:val="nil"/>
              <w:right w:val="nil"/>
            </w:tcBorders>
            <w:shd w:val="clear" w:color="000000" w:fill="CAE7F3"/>
            <w:noWrap/>
            <w:hideMark/>
          </w:tcPr>
          <w:p w14:paraId="769C1512" w14:textId="749014AA" w:rsidR="00F15A3A" w:rsidRPr="00C4739F" w:rsidRDefault="00F15A3A" w:rsidP="00F15A3A">
            <w:pPr>
              <w:spacing w:after="0" w:line="360" w:lineRule="auto"/>
              <w:ind w:left="0"/>
              <w:jc w:val="left"/>
              <w:rPr>
                <w:rFonts w:eastAsia="Times New Roman" w:cs="Arial"/>
                <w:sz w:val="18"/>
                <w:szCs w:val="18"/>
                <w:lang w:eastAsia="en-AU"/>
              </w:rPr>
            </w:pPr>
            <w:r w:rsidRPr="00FB0286">
              <w:rPr>
                <w:sz w:val="18"/>
                <w:szCs w:val="18"/>
              </w:rPr>
              <w:t>Tasmania</w:t>
            </w:r>
          </w:p>
        </w:tc>
        <w:tc>
          <w:tcPr>
            <w:tcW w:w="961" w:type="dxa"/>
            <w:tcBorders>
              <w:top w:val="nil"/>
              <w:left w:val="nil"/>
              <w:bottom w:val="nil"/>
              <w:right w:val="nil"/>
            </w:tcBorders>
            <w:shd w:val="clear" w:color="000000" w:fill="CAE7F3"/>
            <w:noWrap/>
            <w:hideMark/>
          </w:tcPr>
          <w:p w14:paraId="5CE14D85" w14:textId="5675A7DB"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109.8 </w:t>
            </w:r>
          </w:p>
        </w:tc>
        <w:tc>
          <w:tcPr>
            <w:tcW w:w="1198" w:type="dxa"/>
            <w:tcBorders>
              <w:top w:val="nil"/>
              <w:left w:val="nil"/>
              <w:bottom w:val="nil"/>
              <w:right w:val="nil"/>
            </w:tcBorders>
            <w:shd w:val="clear" w:color="000000" w:fill="CAE7F3"/>
            <w:noWrap/>
            <w:hideMark/>
          </w:tcPr>
          <w:p w14:paraId="4A67DC6E" w14:textId="7AB55E30"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1.8</w:t>
            </w:r>
          </w:p>
        </w:tc>
        <w:tc>
          <w:tcPr>
            <w:tcW w:w="343" w:type="dxa"/>
            <w:tcBorders>
              <w:top w:val="nil"/>
              <w:left w:val="nil"/>
              <w:bottom w:val="nil"/>
              <w:right w:val="nil"/>
            </w:tcBorders>
            <w:shd w:val="clear" w:color="000000" w:fill="CAE7F3"/>
            <w:noWrap/>
            <w:hideMark/>
          </w:tcPr>
          <w:p w14:paraId="0D803E22" w14:textId="1AEB4B47" w:rsidR="00F15A3A" w:rsidRPr="00C4739F" w:rsidRDefault="00F15A3A" w:rsidP="00F15A3A">
            <w:pPr>
              <w:spacing w:after="0" w:line="360" w:lineRule="auto"/>
              <w:ind w:left="0"/>
              <w:jc w:val="right"/>
              <w:rPr>
                <w:rFonts w:eastAsia="Times New Roman" w:cs="Arial"/>
                <w:sz w:val="18"/>
                <w:szCs w:val="18"/>
                <w:lang w:eastAsia="en-AU"/>
              </w:rPr>
            </w:pPr>
          </w:p>
        </w:tc>
        <w:tc>
          <w:tcPr>
            <w:tcW w:w="1200" w:type="dxa"/>
            <w:tcBorders>
              <w:top w:val="nil"/>
              <w:left w:val="nil"/>
              <w:bottom w:val="nil"/>
              <w:right w:val="nil"/>
            </w:tcBorders>
            <w:shd w:val="clear" w:color="000000" w:fill="CAE7F3"/>
            <w:noWrap/>
            <w:hideMark/>
          </w:tcPr>
          <w:p w14:paraId="0BDC4D7C" w14:textId="4FB3B5BD"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 xml:space="preserve"> 0.8</w:t>
            </w:r>
          </w:p>
        </w:tc>
        <w:tc>
          <w:tcPr>
            <w:tcW w:w="1207" w:type="dxa"/>
            <w:tcBorders>
              <w:top w:val="nil"/>
              <w:left w:val="nil"/>
              <w:bottom w:val="nil"/>
              <w:right w:val="nil"/>
            </w:tcBorders>
            <w:shd w:val="clear" w:color="000000" w:fill="CAE7F3"/>
            <w:noWrap/>
            <w:hideMark/>
          </w:tcPr>
          <w:p w14:paraId="1D954B31" w14:textId="50EDF1AE" w:rsidR="00F15A3A" w:rsidRPr="00C4739F" w:rsidRDefault="00F15A3A" w:rsidP="00F15A3A">
            <w:pPr>
              <w:spacing w:after="0" w:line="360" w:lineRule="auto"/>
              <w:ind w:left="0"/>
              <w:jc w:val="right"/>
              <w:rPr>
                <w:rFonts w:eastAsia="Times New Roman" w:cs="Arial"/>
                <w:sz w:val="18"/>
                <w:szCs w:val="18"/>
                <w:lang w:eastAsia="en-AU"/>
              </w:rPr>
            </w:pPr>
            <w:r w:rsidRPr="00FB0286">
              <w:rPr>
                <w:sz w:val="18"/>
                <w:szCs w:val="18"/>
              </w:rPr>
              <w:t>-0.6</w:t>
            </w:r>
          </w:p>
        </w:tc>
      </w:tr>
      <w:tr w:rsidR="00F15A3A" w:rsidRPr="001F1F3C" w14:paraId="4097D59E" w14:textId="77777777" w:rsidTr="00FB0286">
        <w:trPr>
          <w:trHeight w:val="240"/>
        </w:trPr>
        <w:tc>
          <w:tcPr>
            <w:tcW w:w="1985" w:type="dxa"/>
            <w:tcBorders>
              <w:top w:val="nil"/>
              <w:left w:val="nil"/>
              <w:bottom w:val="nil"/>
              <w:right w:val="nil"/>
            </w:tcBorders>
            <w:shd w:val="clear" w:color="000000" w:fill="CAE7F3"/>
            <w:noWrap/>
            <w:hideMark/>
          </w:tcPr>
          <w:p w14:paraId="53DA48FB" w14:textId="61C73420" w:rsidR="00F15A3A" w:rsidRPr="00C4739F" w:rsidRDefault="00F15A3A" w:rsidP="00F15A3A">
            <w:pPr>
              <w:spacing w:after="0" w:line="480" w:lineRule="auto"/>
              <w:ind w:left="0"/>
              <w:jc w:val="left"/>
              <w:rPr>
                <w:rFonts w:eastAsia="Times New Roman" w:cs="Arial"/>
                <w:sz w:val="18"/>
                <w:szCs w:val="18"/>
                <w:lang w:eastAsia="en-AU"/>
              </w:rPr>
            </w:pPr>
            <w:r w:rsidRPr="00FB0286">
              <w:rPr>
                <w:sz w:val="18"/>
                <w:szCs w:val="18"/>
              </w:rPr>
              <w:t>Northern Territory</w:t>
            </w:r>
          </w:p>
        </w:tc>
        <w:tc>
          <w:tcPr>
            <w:tcW w:w="961" w:type="dxa"/>
            <w:tcBorders>
              <w:top w:val="nil"/>
              <w:left w:val="nil"/>
              <w:bottom w:val="nil"/>
              <w:right w:val="nil"/>
            </w:tcBorders>
            <w:shd w:val="clear" w:color="000000" w:fill="CAE7F3"/>
            <w:noWrap/>
            <w:hideMark/>
          </w:tcPr>
          <w:p w14:paraId="782E9D5F" w14:textId="3227A81C" w:rsidR="00F15A3A" w:rsidRPr="00C4739F" w:rsidRDefault="00F15A3A" w:rsidP="00F15A3A">
            <w:pPr>
              <w:spacing w:after="0" w:line="480" w:lineRule="auto"/>
              <w:ind w:left="0"/>
              <w:jc w:val="right"/>
              <w:rPr>
                <w:rFonts w:eastAsia="Times New Roman" w:cs="Arial"/>
                <w:sz w:val="18"/>
                <w:szCs w:val="18"/>
                <w:lang w:eastAsia="en-AU"/>
              </w:rPr>
            </w:pPr>
            <w:r w:rsidRPr="00FB0286">
              <w:rPr>
                <w:sz w:val="18"/>
                <w:szCs w:val="18"/>
              </w:rPr>
              <w:t xml:space="preserve"> 83.1 </w:t>
            </w:r>
          </w:p>
        </w:tc>
        <w:tc>
          <w:tcPr>
            <w:tcW w:w="1198" w:type="dxa"/>
            <w:tcBorders>
              <w:top w:val="nil"/>
              <w:left w:val="nil"/>
              <w:bottom w:val="nil"/>
              <w:right w:val="nil"/>
            </w:tcBorders>
            <w:shd w:val="clear" w:color="000000" w:fill="CAE7F3"/>
            <w:noWrap/>
            <w:hideMark/>
          </w:tcPr>
          <w:p w14:paraId="2F583DB3" w14:textId="36691702" w:rsidR="00F15A3A" w:rsidRPr="00C4739F" w:rsidRDefault="00F15A3A" w:rsidP="00F15A3A">
            <w:pPr>
              <w:spacing w:after="0" w:line="480" w:lineRule="auto"/>
              <w:ind w:left="0"/>
              <w:jc w:val="right"/>
              <w:rPr>
                <w:rFonts w:eastAsia="Times New Roman" w:cs="Arial"/>
                <w:sz w:val="18"/>
                <w:szCs w:val="18"/>
                <w:lang w:eastAsia="en-AU"/>
              </w:rPr>
            </w:pPr>
            <w:r w:rsidRPr="00FB0286">
              <w:rPr>
                <w:sz w:val="18"/>
                <w:szCs w:val="18"/>
              </w:rPr>
              <w:t xml:space="preserve"> 1.4</w:t>
            </w:r>
          </w:p>
        </w:tc>
        <w:tc>
          <w:tcPr>
            <w:tcW w:w="343" w:type="dxa"/>
            <w:tcBorders>
              <w:top w:val="nil"/>
              <w:left w:val="nil"/>
              <w:bottom w:val="nil"/>
              <w:right w:val="nil"/>
            </w:tcBorders>
            <w:shd w:val="clear" w:color="000000" w:fill="CAE7F3"/>
            <w:noWrap/>
            <w:hideMark/>
          </w:tcPr>
          <w:p w14:paraId="6743BCFD" w14:textId="78A48396" w:rsidR="00F15A3A" w:rsidRPr="00C4739F" w:rsidRDefault="00F15A3A" w:rsidP="00F15A3A">
            <w:pPr>
              <w:spacing w:after="0" w:line="480" w:lineRule="auto"/>
              <w:ind w:left="0"/>
              <w:jc w:val="right"/>
              <w:rPr>
                <w:rFonts w:eastAsia="Times New Roman" w:cs="Arial"/>
                <w:sz w:val="18"/>
                <w:szCs w:val="18"/>
                <w:lang w:eastAsia="en-AU"/>
              </w:rPr>
            </w:pPr>
          </w:p>
        </w:tc>
        <w:tc>
          <w:tcPr>
            <w:tcW w:w="1200" w:type="dxa"/>
            <w:tcBorders>
              <w:top w:val="nil"/>
              <w:left w:val="nil"/>
              <w:bottom w:val="nil"/>
              <w:right w:val="nil"/>
            </w:tcBorders>
            <w:shd w:val="clear" w:color="000000" w:fill="CAE7F3"/>
            <w:noWrap/>
            <w:hideMark/>
          </w:tcPr>
          <w:p w14:paraId="2CB62242" w14:textId="535D715C" w:rsidR="00F15A3A" w:rsidRPr="00C4739F" w:rsidRDefault="00F15A3A">
            <w:pPr>
              <w:spacing w:after="0" w:line="480" w:lineRule="auto"/>
              <w:ind w:left="0"/>
              <w:jc w:val="right"/>
              <w:rPr>
                <w:rFonts w:eastAsia="Times New Roman" w:cs="Arial"/>
                <w:sz w:val="18"/>
                <w:szCs w:val="18"/>
                <w:lang w:eastAsia="en-AU"/>
              </w:rPr>
            </w:pPr>
            <w:r w:rsidRPr="00FB0286">
              <w:rPr>
                <w:sz w:val="18"/>
                <w:szCs w:val="18"/>
              </w:rPr>
              <w:t>-0.2</w:t>
            </w:r>
          </w:p>
        </w:tc>
        <w:tc>
          <w:tcPr>
            <w:tcW w:w="1207" w:type="dxa"/>
            <w:tcBorders>
              <w:top w:val="nil"/>
              <w:left w:val="nil"/>
              <w:bottom w:val="nil"/>
              <w:right w:val="nil"/>
            </w:tcBorders>
            <w:shd w:val="clear" w:color="000000" w:fill="CAE7F3"/>
            <w:noWrap/>
            <w:hideMark/>
          </w:tcPr>
          <w:p w14:paraId="624D0A7A" w14:textId="42D2A565" w:rsidR="00F15A3A" w:rsidRPr="00C4739F" w:rsidRDefault="00F15A3A">
            <w:pPr>
              <w:spacing w:after="0" w:line="480" w:lineRule="auto"/>
              <w:ind w:left="0"/>
              <w:jc w:val="right"/>
              <w:rPr>
                <w:rFonts w:eastAsia="Times New Roman" w:cs="Arial"/>
                <w:sz w:val="18"/>
                <w:szCs w:val="18"/>
                <w:lang w:eastAsia="en-AU"/>
              </w:rPr>
            </w:pPr>
            <w:r w:rsidRPr="00FB0286">
              <w:rPr>
                <w:sz w:val="18"/>
                <w:szCs w:val="18"/>
              </w:rPr>
              <w:t>-1.6</w:t>
            </w:r>
          </w:p>
        </w:tc>
      </w:tr>
      <w:tr w:rsidR="00F15A3A" w:rsidRPr="001F1F3C" w14:paraId="72B04ED9" w14:textId="77777777" w:rsidTr="00FB0286">
        <w:trPr>
          <w:trHeight w:val="240"/>
        </w:trPr>
        <w:tc>
          <w:tcPr>
            <w:tcW w:w="1985" w:type="dxa"/>
            <w:tcBorders>
              <w:top w:val="nil"/>
              <w:left w:val="nil"/>
              <w:bottom w:val="nil"/>
              <w:right w:val="nil"/>
            </w:tcBorders>
            <w:shd w:val="clear" w:color="000000" w:fill="CAE7F3"/>
            <w:noWrap/>
            <w:hideMark/>
          </w:tcPr>
          <w:p w14:paraId="1BEAEC70" w14:textId="262F60C8" w:rsidR="00F15A3A" w:rsidRPr="00C4739F" w:rsidRDefault="00F15A3A" w:rsidP="00F15A3A">
            <w:pPr>
              <w:spacing w:after="0" w:line="360" w:lineRule="auto"/>
              <w:ind w:left="0"/>
              <w:jc w:val="left"/>
              <w:rPr>
                <w:rFonts w:eastAsia="Times New Roman" w:cs="Arial"/>
                <w:b/>
                <w:bCs/>
                <w:sz w:val="18"/>
                <w:szCs w:val="18"/>
                <w:lang w:eastAsia="en-AU"/>
              </w:rPr>
            </w:pPr>
            <w:r w:rsidRPr="00FB0286">
              <w:rPr>
                <w:b/>
                <w:sz w:val="18"/>
                <w:szCs w:val="18"/>
              </w:rPr>
              <w:t>Total</w:t>
            </w:r>
          </w:p>
        </w:tc>
        <w:tc>
          <w:tcPr>
            <w:tcW w:w="961" w:type="dxa"/>
            <w:tcBorders>
              <w:top w:val="nil"/>
              <w:left w:val="nil"/>
              <w:bottom w:val="nil"/>
              <w:right w:val="nil"/>
            </w:tcBorders>
            <w:shd w:val="clear" w:color="000000" w:fill="CAE7F3"/>
            <w:noWrap/>
            <w:hideMark/>
          </w:tcPr>
          <w:p w14:paraId="1E7D3698" w14:textId="02A08DEF" w:rsidR="00F15A3A" w:rsidRPr="00C4739F" w:rsidRDefault="00F15A3A" w:rsidP="00F15A3A">
            <w:pPr>
              <w:spacing w:after="0" w:line="360" w:lineRule="auto"/>
              <w:ind w:left="0"/>
              <w:jc w:val="right"/>
              <w:rPr>
                <w:rFonts w:eastAsia="Times New Roman" w:cs="Arial"/>
                <w:b/>
                <w:bCs/>
                <w:sz w:val="18"/>
                <w:szCs w:val="18"/>
                <w:lang w:eastAsia="en-AU"/>
              </w:rPr>
            </w:pPr>
            <w:r w:rsidRPr="00FB0286">
              <w:rPr>
                <w:b/>
                <w:sz w:val="18"/>
                <w:szCs w:val="18"/>
              </w:rPr>
              <w:t xml:space="preserve"> 6,145.8 </w:t>
            </w:r>
          </w:p>
        </w:tc>
        <w:tc>
          <w:tcPr>
            <w:tcW w:w="1198" w:type="dxa"/>
            <w:tcBorders>
              <w:top w:val="nil"/>
              <w:left w:val="nil"/>
              <w:bottom w:val="nil"/>
              <w:right w:val="nil"/>
            </w:tcBorders>
            <w:shd w:val="clear" w:color="000000" w:fill="CAE7F3"/>
            <w:noWrap/>
            <w:hideMark/>
          </w:tcPr>
          <w:p w14:paraId="44A417A5" w14:textId="6471C2EB" w:rsidR="00F15A3A" w:rsidRPr="00C4739F" w:rsidRDefault="00F15A3A" w:rsidP="00F15A3A">
            <w:pPr>
              <w:spacing w:after="0" w:line="360" w:lineRule="auto"/>
              <w:ind w:left="0"/>
              <w:jc w:val="right"/>
              <w:rPr>
                <w:rFonts w:eastAsia="Times New Roman" w:cs="Arial"/>
                <w:b/>
                <w:bCs/>
                <w:sz w:val="18"/>
                <w:szCs w:val="18"/>
                <w:lang w:eastAsia="en-AU"/>
              </w:rPr>
            </w:pPr>
            <w:r w:rsidRPr="00FB0286">
              <w:rPr>
                <w:b/>
                <w:sz w:val="18"/>
                <w:szCs w:val="18"/>
              </w:rPr>
              <w:t xml:space="preserve"> 100.0</w:t>
            </w:r>
          </w:p>
        </w:tc>
        <w:tc>
          <w:tcPr>
            <w:tcW w:w="343" w:type="dxa"/>
            <w:tcBorders>
              <w:top w:val="nil"/>
              <w:left w:val="nil"/>
              <w:bottom w:val="nil"/>
              <w:right w:val="nil"/>
            </w:tcBorders>
            <w:shd w:val="clear" w:color="000000" w:fill="CAE7F3"/>
            <w:noWrap/>
            <w:hideMark/>
          </w:tcPr>
          <w:p w14:paraId="662BF825" w14:textId="7B4F9AF2" w:rsidR="00F15A3A" w:rsidRPr="00C4739F" w:rsidRDefault="00F15A3A" w:rsidP="00F15A3A">
            <w:pPr>
              <w:spacing w:after="0" w:line="360" w:lineRule="auto"/>
              <w:ind w:left="0"/>
              <w:jc w:val="right"/>
              <w:rPr>
                <w:rFonts w:eastAsia="Times New Roman" w:cs="Arial"/>
                <w:b/>
                <w:bCs/>
                <w:sz w:val="18"/>
                <w:szCs w:val="18"/>
                <w:lang w:eastAsia="en-AU"/>
              </w:rPr>
            </w:pPr>
          </w:p>
        </w:tc>
        <w:tc>
          <w:tcPr>
            <w:tcW w:w="1200" w:type="dxa"/>
            <w:tcBorders>
              <w:top w:val="nil"/>
              <w:left w:val="nil"/>
              <w:bottom w:val="nil"/>
              <w:right w:val="nil"/>
            </w:tcBorders>
            <w:shd w:val="clear" w:color="000000" w:fill="CAE7F3"/>
            <w:noWrap/>
            <w:hideMark/>
          </w:tcPr>
          <w:p w14:paraId="3FDB902A" w14:textId="37F82422" w:rsidR="00F15A3A" w:rsidRPr="00C4739F" w:rsidRDefault="00F15A3A" w:rsidP="00F15A3A">
            <w:pPr>
              <w:spacing w:after="0" w:line="360" w:lineRule="auto"/>
              <w:ind w:left="0"/>
              <w:jc w:val="right"/>
              <w:rPr>
                <w:rFonts w:eastAsia="Times New Roman" w:cs="Arial"/>
                <w:b/>
                <w:bCs/>
                <w:sz w:val="18"/>
                <w:szCs w:val="18"/>
                <w:lang w:eastAsia="en-AU"/>
              </w:rPr>
            </w:pPr>
            <w:r w:rsidRPr="00FB0286">
              <w:rPr>
                <w:b/>
                <w:sz w:val="18"/>
                <w:szCs w:val="18"/>
              </w:rPr>
              <w:t xml:space="preserve"> 1.1</w:t>
            </w:r>
          </w:p>
        </w:tc>
        <w:tc>
          <w:tcPr>
            <w:tcW w:w="1207" w:type="dxa"/>
            <w:tcBorders>
              <w:top w:val="nil"/>
              <w:left w:val="nil"/>
              <w:bottom w:val="nil"/>
              <w:right w:val="nil"/>
            </w:tcBorders>
            <w:shd w:val="clear" w:color="000000" w:fill="CAE7F3"/>
            <w:noWrap/>
            <w:hideMark/>
          </w:tcPr>
          <w:p w14:paraId="6536643C" w14:textId="458F0DAF" w:rsidR="00F15A3A" w:rsidRPr="00C4739F" w:rsidRDefault="00F15A3A" w:rsidP="00F15A3A">
            <w:pPr>
              <w:spacing w:after="0" w:line="360" w:lineRule="auto"/>
              <w:ind w:left="0"/>
              <w:jc w:val="right"/>
              <w:rPr>
                <w:rFonts w:eastAsia="Times New Roman" w:cs="Arial"/>
                <w:b/>
                <w:bCs/>
                <w:sz w:val="18"/>
                <w:szCs w:val="18"/>
                <w:lang w:eastAsia="en-AU"/>
              </w:rPr>
            </w:pPr>
            <w:r w:rsidRPr="00FB0286">
              <w:rPr>
                <w:b/>
                <w:sz w:val="18"/>
                <w:szCs w:val="18"/>
              </w:rPr>
              <w:t xml:space="preserve"> 0.8</w:t>
            </w:r>
          </w:p>
        </w:tc>
      </w:tr>
    </w:tbl>
    <w:p w14:paraId="70CDE11A" w14:textId="77777777" w:rsidR="001F4600" w:rsidRPr="001F1F3C" w:rsidRDefault="001F4600" w:rsidP="001F4600">
      <w:pPr>
        <w:pStyle w:val="Note"/>
        <w:rPr>
          <w:color w:val="595A5B" w:themeColor="text2"/>
        </w:rPr>
      </w:pPr>
      <w:r w:rsidRPr="001F1F3C">
        <w:rPr>
          <w:color w:val="595A5B" w:themeColor="text2"/>
        </w:rPr>
        <w:t xml:space="preserve">Notes: </w:t>
      </w:r>
      <w:r w:rsidRPr="0033249C">
        <w:rPr>
          <w:color w:val="595A5B" w:themeColor="text2"/>
          <w:vertAlign w:val="superscript"/>
        </w:rPr>
        <w:t>a</w:t>
      </w:r>
      <w:r w:rsidRPr="001F1F3C">
        <w:rPr>
          <w:color w:val="595A5B" w:themeColor="text2"/>
        </w:rPr>
        <w:t xml:space="preserve"> Includes Australian Capital Territory</w:t>
      </w:r>
    </w:p>
    <w:p w14:paraId="25418F78" w14:textId="5F3AD2B7" w:rsidR="001F4600" w:rsidRPr="001F1F3C" w:rsidRDefault="001F4600" w:rsidP="004245FA">
      <w:pPr>
        <w:pStyle w:val="Source"/>
        <w:rPr>
          <w:color w:val="595A5B" w:themeColor="text2"/>
        </w:rPr>
      </w:pPr>
      <w:r w:rsidRPr="001F1F3C">
        <w:rPr>
          <w:color w:val="595A5B" w:themeColor="text2"/>
        </w:rPr>
        <w:t xml:space="preserve">Source: </w:t>
      </w:r>
      <w:r w:rsidRPr="001F1F3C">
        <w:rPr>
          <w:color w:val="595A5B" w:themeColor="text2"/>
          <w:szCs w:val="16"/>
        </w:rPr>
        <w:t xml:space="preserve">Department of </w:t>
      </w:r>
      <w:r w:rsidR="005A4AAD" w:rsidRPr="001F1F3C">
        <w:rPr>
          <w:color w:val="595A5B" w:themeColor="text2"/>
          <w:szCs w:val="16"/>
        </w:rPr>
        <w:t>the Environment and Energy</w:t>
      </w:r>
      <w:r w:rsidRPr="001F1F3C">
        <w:rPr>
          <w:color w:val="595A5B" w:themeColor="text2"/>
          <w:szCs w:val="16"/>
        </w:rPr>
        <w:t xml:space="preserve"> (</w:t>
      </w:r>
      <w:r w:rsidR="003F2CCE" w:rsidRPr="001F1F3C">
        <w:rPr>
          <w:color w:val="595A5B" w:themeColor="text2"/>
          <w:szCs w:val="16"/>
        </w:rPr>
        <w:t>2018</w:t>
      </w:r>
      <w:r w:rsidRPr="001F1F3C">
        <w:rPr>
          <w:color w:val="595A5B" w:themeColor="text2"/>
        </w:rPr>
        <w:t xml:space="preserve">) </w:t>
      </w:r>
      <w:r w:rsidRPr="001F1F3C">
        <w:rPr>
          <w:i/>
          <w:color w:val="595A5B" w:themeColor="text2"/>
        </w:rPr>
        <w:t>Australian Energy Statistics</w:t>
      </w:r>
      <w:r w:rsidRPr="001F1F3C">
        <w:rPr>
          <w:color w:val="595A5B" w:themeColor="text2"/>
        </w:rPr>
        <w:t xml:space="preserve">, </w:t>
      </w:r>
      <w:r w:rsidRPr="001F1F3C">
        <w:rPr>
          <w:color w:val="595A5B" w:themeColor="text2"/>
        </w:rPr>
        <w:br/>
        <w:t>Table C</w:t>
      </w:r>
    </w:p>
    <w:p w14:paraId="04FDA17A" w14:textId="65BF6B40" w:rsidR="00081F0D" w:rsidRPr="001F1F3C" w:rsidRDefault="00081F0D" w:rsidP="00081F0D">
      <w:pPr>
        <w:pStyle w:val="Caption"/>
        <w:ind w:left="-1985"/>
      </w:pPr>
      <w:bookmarkStart w:id="105" w:name="_Toc522196969"/>
      <w:bookmarkStart w:id="106" w:name="_Toc522197028"/>
      <w:bookmarkStart w:id="107" w:name="_Toc522200474"/>
      <w:bookmarkStart w:id="108" w:name="_Toc523777423"/>
      <w:bookmarkStart w:id="109" w:name="_Toc392157285"/>
      <w:bookmarkStart w:id="110" w:name="_Toc427614398"/>
      <w:bookmarkStart w:id="111" w:name="_Toc428130032"/>
      <w:bookmarkStart w:id="112" w:name="_Toc522197029"/>
      <w:bookmarkEnd w:id="105"/>
      <w:bookmarkEnd w:id="106"/>
      <w:bookmarkEnd w:id="107"/>
      <w:r>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2</w:t>
      </w:r>
      <w:r w:rsidR="00941B67">
        <w:rPr>
          <w:noProof/>
        </w:rPr>
        <w:fldChar w:fldCharType="end"/>
      </w:r>
      <w:r>
        <w:t>.</w:t>
      </w:r>
      <w:r w:rsidR="00941B67">
        <w:rPr>
          <w:noProof/>
        </w:rPr>
        <w:fldChar w:fldCharType="begin"/>
      </w:r>
      <w:r w:rsidR="00941B67">
        <w:rPr>
          <w:noProof/>
        </w:rPr>
        <w:instrText xml:space="preserve"> SEQ Figure \* ARABIC \s 1 </w:instrText>
      </w:r>
      <w:r w:rsidR="00941B67">
        <w:rPr>
          <w:noProof/>
        </w:rPr>
        <w:fldChar w:fldCharType="separate"/>
      </w:r>
      <w:r w:rsidR="00D72ABB">
        <w:rPr>
          <w:noProof/>
        </w:rPr>
        <w:t>8</w:t>
      </w:r>
      <w:r w:rsidR="00941B67">
        <w:rPr>
          <w:noProof/>
        </w:rPr>
        <w:fldChar w:fldCharType="end"/>
      </w:r>
      <w:r>
        <w:t xml:space="preserve">: </w:t>
      </w:r>
      <w:r w:rsidR="00300DC3">
        <w:t>Australian energy mix, by state and territory, 2016–17</w:t>
      </w:r>
      <w:bookmarkEnd w:id="108"/>
    </w:p>
    <w:tbl>
      <w:tblPr>
        <w:tblStyle w:val="OCETable"/>
        <w:tblW w:w="6400" w:type="pct"/>
        <w:tblInd w:w="-1985" w:type="dxa"/>
        <w:tblLayout w:type="fixed"/>
        <w:tblLook w:val="04A0" w:firstRow="1" w:lastRow="0" w:firstColumn="1" w:lastColumn="0" w:noHBand="0" w:noVBand="1"/>
        <w:tblCaption w:val="Placeholder obejct only"/>
      </w:tblPr>
      <w:tblGrid>
        <w:gridCol w:w="8824"/>
      </w:tblGrid>
      <w:tr w:rsidR="00081F0D" w:rsidRPr="001F1F3C" w14:paraId="59A350CA" w14:textId="77777777" w:rsidTr="002C4301">
        <w:trPr>
          <w:cnfStyle w:val="100000000000" w:firstRow="1" w:lastRow="0" w:firstColumn="0" w:lastColumn="0" w:oddVBand="0" w:evenVBand="0" w:oddHBand="0" w:evenHBand="0" w:firstRowFirstColumn="0" w:firstRowLastColumn="0" w:lastRowFirstColumn="0" w:lastRowLastColumn="0"/>
          <w:trHeight w:val="5219"/>
          <w:tblHeader/>
        </w:trPr>
        <w:tc>
          <w:tcPr>
            <w:tcW w:w="8824" w:type="dxa"/>
            <w:shd w:val="clear" w:color="auto" w:fill="auto"/>
          </w:tcPr>
          <w:p w14:paraId="11287F2B" w14:textId="59D14E96" w:rsidR="00081F0D" w:rsidRPr="001F1F3C" w:rsidRDefault="00081F0D" w:rsidP="00F13CC3">
            <w:pPr>
              <w:pStyle w:val="PlaceholderWide"/>
              <w:tabs>
                <w:tab w:val="left" w:pos="285"/>
                <w:tab w:val="left" w:pos="3750"/>
              </w:tabs>
              <w:jc w:val="both"/>
            </w:pPr>
            <w:r>
              <w:tab/>
            </w:r>
            <w:r w:rsidR="00F13CC3">
              <w:rPr>
                <w:noProof/>
                <w:lang w:eastAsia="en-AU"/>
              </w:rPr>
              <w:drawing>
                <wp:inline distT="0" distB="0" distL="0" distR="0" wp14:anchorId="4DC0AB74" wp14:editId="72B0F21C">
                  <wp:extent cx="5541645" cy="3115310"/>
                  <wp:effectExtent l="0" t="0" r="1905" b="8890"/>
                  <wp:docPr id="18" name="Picture 18" descr="The figure shows the percentage composition of energy use in each state and territory, by fuel type, in 2016-17" title="Figure 2.8: Australian energy mix, by state and territory, 20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41645" cy="3115310"/>
                          </a:xfrm>
                          <a:prstGeom prst="rect">
                            <a:avLst/>
                          </a:prstGeom>
                          <a:noFill/>
                        </pic:spPr>
                      </pic:pic>
                    </a:graphicData>
                  </a:graphic>
                </wp:inline>
              </w:drawing>
            </w:r>
            <w:r>
              <w:tab/>
            </w:r>
          </w:p>
        </w:tc>
      </w:tr>
    </w:tbl>
    <w:p w14:paraId="695F29C0" w14:textId="718AAA4D" w:rsidR="00081F0D" w:rsidRPr="001F1F3C" w:rsidRDefault="00F13CC3" w:rsidP="00081F0D">
      <w:pPr>
        <w:pStyle w:val="SourceWide"/>
        <w:rPr>
          <w:color w:val="595A5B" w:themeColor="text1"/>
        </w:rPr>
      </w:pPr>
      <w:r>
        <w:rPr>
          <w:color w:val="595A5B" w:themeColor="text1"/>
        </w:rPr>
        <w:t>S</w:t>
      </w:r>
      <w:r w:rsidR="00081F0D" w:rsidRPr="001F1F3C">
        <w:rPr>
          <w:color w:val="595A5B" w:themeColor="text1"/>
        </w:rPr>
        <w:t xml:space="preserve">ource: </w:t>
      </w:r>
      <w:r w:rsidR="00081F0D" w:rsidRPr="001F1F3C">
        <w:rPr>
          <w:color w:val="595A5B" w:themeColor="text1"/>
          <w:szCs w:val="16"/>
        </w:rPr>
        <w:t>Department of the Environment and Energy (2018</w:t>
      </w:r>
      <w:r w:rsidR="00081F0D" w:rsidRPr="001F1F3C">
        <w:rPr>
          <w:color w:val="595A5B" w:themeColor="text1"/>
        </w:rPr>
        <w:t xml:space="preserve">) </w:t>
      </w:r>
      <w:r w:rsidR="00081F0D" w:rsidRPr="001F1F3C">
        <w:rPr>
          <w:i/>
          <w:color w:val="595A5B" w:themeColor="text1"/>
        </w:rPr>
        <w:t>Australian Energy Statistics</w:t>
      </w:r>
      <w:r w:rsidR="00081F0D" w:rsidRPr="001F1F3C">
        <w:rPr>
          <w:color w:val="595A5B" w:themeColor="text1"/>
        </w:rPr>
        <w:t xml:space="preserve">, Table </w:t>
      </w:r>
      <w:r w:rsidR="00081F0D">
        <w:rPr>
          <w:color w:val="595A5B" w:themeColor="text1"/>
        </w:rPr>
        <w:t>C</w:t>
      </w:r>
      <w:r w:rsidR="00081F0D" w:rsidRPr="001F1F3C">
        <w:rPr>
          <w:color w:val="595A5B" w:themeColor="text1"/>
        </w:rPr>
        <w:t xml:space="preserve"> </w:t>
      </w:r>
    </w:p>
    <w:p w14:paraId="29A9CAB2" w14:textId="77777777" w:rsidR="00081F0D" w:rsidRDefault="00081F0D">
      <w:pPr>
        <w:spacing w:after="200" w:line="276" w:lineRule="auto"/>
        <w:ind w:left="0"/>
        <w:jc w:val="left"/>
      </w:pPr>
    </w:p>
    <w:p w14:paraId="3B357B99" w14:textId="77777777" w:rsidR="009F463C" w:rsidRDefault="009F463C">
      <w:pPr>
        <w:spacing w:after="200" w:line="276" w:lineRule="auto"/>
        <w:ind w:left="0"/>
        <w:jc w:val="left"/>
        <w:rPr>
          <w:rFonts w:asciiTheme="majorHAnsi" w:eastAsia="Times New Roman" w:hAnsiTheme="majorHAnsi" w:cs="Arial"/>
          <w:b/>
          <w:bCs/>
          <w:color w:val="292B67" w:themeColor="accent1"/>
          <w:kern w:val="32"/>
          <w:sz w:val="32"/>
          <w:szCs w:val="32"/>
        </w:rPr>
      </w:pPr>
      <w:r>
        <w:br w:type="page"/>
      </w:r>
    </w:p>
    <w:p w14:paraId="61C36001" w14:textId="773EB1BC" w:rsidR="001F4600" w:rsidRPr="001F1F3C" w:rsidRDefault="001F4600" w:rsidP="001F4600">
      <w:pPr>
        <w:pStyle w:val="Heading1"/>
      </w:pPr>
      <w:bookmarkStart w:id="113" w:name="_Toc522633190"/>
      <w:r w:rsidRPr="001F1F3C">
        <w:lastRenderedPageBreak/>
        <w:t>Energy production</w:t>
      </w:r>
      <w:bookmarkEnd w:id="109"/>
      <w:bookmarkEnd w:id="110"/>
      <w:bookmarkEnd w:id="111"/>
      <w:bookmarkEnd w:id="112"/>
      <w:bookmarkEnd w:id="113"/>
    </w:p>
    <w:p w14:paraId="1F46E5D3" w14:textId="77777777" w:rsidR="001F4600" w:rsidRPr="001F1F3C" w:rsidRDefault="001F4600" w:rsidP="001F4600">
      <w:pPr>
        <w:pStyle w:val="Heading2"/>
      </w:pPr>
      <w:bookmarkStart w:id="114" w:name="_Toc392157286"/>
      <w:bookmarkStart w:id="115" w:name="_Toc427614399"/>
      <w:bookmarkStart w:id="116" w:name="_Toc428130033"/>
      <w:bookmarkStart w:id="117" w:name="_Toc522197030"/>
      <w:bookmarkStart w:id="118" w:name="_Toc522633191"/>
      <w:r w:rsidRPr="001F1F3C">
        <w:t>Primary production</w:t>
      </w:r>
      <w:bookmarkEnd w:id="114"/>
      <w:bookmarkEnd w:id="115"/>
      <w:bookmarkEnd w:id="116"/>
      <w:bookmarkEnd w:id="117"/>
      <w:bookmarkEnd w:id="118"/>
    </w:p>
    <w:p w14:paraId="78468798" w14:textId="3E591BA5" w:rsidR="00CF5AC7" w:rsidRPr="001F1F3C" w:rsidRDefault="00CF5AC7" w:rsidP="00CF5AC7">
      <w:pPr>
        <w:pStyle w:val="BodyText"/>
      </w:pPr>
      <w:r w:rsidRPr="001F1F3C">
        <w:t xml:space="preserve">Energy production is defined as the total amount of primary energy produced in the Australian economy, measured before consumption or transformation. Forms of renewable energy that produce electricity directly without a thermal component, such as wind, hydro and solar PV, are considered primary energy sources. </w:t>
      </w:r>
      <w:r w:rsidR="006D2D7B">
        <w:t>Coal-</w:t>
      </w:r>
      <w:r w:rsidR="00921DE5" w:rsidRPr="001F1F3C">
        <w:t>fired</w:t>
      </w:r>
      <w:r w:rsidRPr="001F1F3C">
        <w:t xml:space="preserve"> electricity generation is considered secondary energy production and is not included, as the coal is already accounted for when mined.</w:t>
      </w:r>
    </w:p>
    <w:p w14:paraId="44CCD99D" w14:textId="389AB295" w:rsidR="00CF5AC7" w:rsidRPr="001F1F3C" w:rsidRDefault="00CF5AC7" w:rsidP="00CF5AC7">
      <w:pPr>
        <w:pStyle w:val="BodyText"/>
      </w:pPr>
      <w:r w:rsidRPr="001F1F3C">
        <w:t xml:space="preserve">Domestic production of primary energy increased by </w:t>
      </w:r>
      <w:r w:rsidR="00823AE6">
        <w:t>4</w:t>
      </w:r>
      <w:r w:rsidRPr="001F1F3C">
        <w:t xml:space="preserve"> per cent in 2016–17, to reach 17,</w:t>
      </w:r>
      <w:r w:rsidR="0033249C">
        <w:t>957</w:t>
      </w:r>
      <w:r w:rsidRPr="001F1F3C">
        <w:t xml:space="preserve"> petajoules (Table </w:t>
      </w:r>
      <w:r w:rsidR="00823AE6">
        <w:t>3</w:t>
      </w:r>
      <w:r w:rsidR="006D2D7B">
        <w:t xml:space="preserve">.1). This is consistent with the </w:t>
      </w:r>
      <w:r w:rsidRPr="001F1F3C">
        <w:t>trend in energy productio</w:t>
      </w:r>
      <w:r w:rsidR="00143420">
        <w:t>n over the past decade (Figure 3</w:t>
      </w:r>
      <w:r w:rsidRPr="001F1F3C">
        <w:t>.1)</w:t>
      </w:r>
      <w:r w:rsidR="00F80402">
        <w:t>,</w:t>
      </w:r>
      <w:r w:rsidR="00DB0186">
        <w:t xml:space="preserve"> which has seen p</w:t>
      </w:r>
      <w:r w:rsidRPr="001F1F3C">
        <w:t xml:space="preserve">roduction become </w:t>
      </w:r>
      <w:r w:rsidR="00DB0186">
        <w:t xml:space="preserve">more </w:t>
      </w:r>
      <w:r w:rsidRPr="001F1F3C">
        <w:t xml:space="preserve">export-oriented. Australia is a net exporter of energy, including coal and natural gas, with net exports equal to around two-thirds of </w:t>
      </w:r>
      <w:r w:rsidR="00143420">
        <w:t>production (Figure 3</w:t>
      </w:r>
      <w:r w:rsidRPr="001F1F3C">
        <w:t xml:space="preserve">.2). Australia also </w:t>
      </w:r>
      <w:r w:rsidR="00B96DF8">
        <w:t xml:space="preserve">produces and </w:t>
      </w:r>
      <w:r w:rsidRPr="001F1F3C">
        <w:t>exports large volumes of uranium oxide.</w:t>
      </w:r>
    </w:p>
    <w:p w14:paraId="01C53E92" w14:textId="22B56BB8" w:rsidR="00CF5AC7" w:rsidRPr="001F1F3C" w:rsidRDefault="00CF5AC7" w:rsidP="00CF5AC7">
      <w:pPr>
        <w:pStyle w:val="BodyText"/>
      </w:pPr>
      <w:r w:rsidRPr="001F1F3C">
        <w:t>A decline in Queensland black coal production was offset by an increase in New South Wales production, leaving overall</w:t>
      </w:r>
      <w:r w:rsidR="006D2D7B">
        <w:t xml:space="preserve"> black</w:t>
      </w:r>
      <w:r w:rsidRPr="001F1F3C">
        <w:t xml:space="preserve"> </w:t>
      </w:r>
      <w:r w:rsidR="006D2D7B">
        <w:t xml:space="preserve">coal </w:t>
      </w:r>
      <w:r w:rsidRPr="001F1F3C">
        <w:t>production steady in 2016–17, at 12,154 petajoules (443 million tonnes). Austral</w:t>
      </w:r>
      <w:r w:rsidR="00747A05">
        <w:t>ian production peaked at 12,288 </w:t>
      </w:r>
      <w:r w:rsidRPr="001F1F3C">
        <w:t>petajoules (447 million tonnes) in 2014</w:t>
      </w:r>
      <w:r w:rsidR="00B96DF8">
        <w:t>–</w:t>
      </w:r>
      <w:r w:rsidRPr="001F1F3C">
        <w:t xml:space="preserve">15. </w:t>
      </w:r>
    </w:p>
    <w:p w14:paraId="06FE150D" w14:textId="47DBC7C4" w:rsidR="00CF5AC7" w:rsidRDefault="00CF5AC7" w:rsidP="00CF5AC7">
      <w:pPr>
        <w:pStyle w:val="BodyText"/>
      </w:pPr>
      <w:r w:rsidRPr="001F1F3C">
        <w:t>Brown coal production fell in 2016–17, by 8</w:t>
      </w:r>
      <w:r w:rsidR="00747A05">
        <w:t xml:space="preserve"> per cent to 584 petajoules (57 </w:t>
      </w:r>
      <w:r w:rsidRPr="001F1F3C">
        <w:t xml:space="preserve">million tonnes). </w:t>
      </w:r>
      <w:r w:rsidR="00823AE6">
        <w:t>Virtually all brown coal produced in Australia is used for electricity generation.</w:t>
      </w:r>
      <w:r w:rsidR="00823AE6" w:rsidRPr="001F1F3C">
        <w:t xml:space="preserve"> </w:t>
      </w:r>
      <w:r w:rsidRPr="001F1F3C">
        <w:t xml:space="preserve">The level of production is now around 23 per cent lower than peak production in 2009–10. </w:t>
      </w:r>
      <w:r w:rsidR="00823AE6">
        <w:t>T</w:t>
      </w:r>
      <w:r w:rsidR="007031C2">
        <w:t>he fal</w:t>
      </w:r>
      <w:r w:rsidR="00823AE6">
        <w:t xml:space="preserve">l </w:t>
      </w:r>
      <w:r w:rsidR="007031C2">
        <w:t xml:space="preserve">in production </w:t>
      </w:r>
      <w:r w:rsidR="00823AE6">
        <w:t>is</w:t>
      </w:r>
      <w:r w:rsidR="007C0034">
        <w:t xml:space="preserve"> largely </w:t>
      </w:r>
      <w:r w:rsidR="00823AE6">
        <w:t>due to the</w:t>
      </w:r>
      <w:r w:rsidRPr="001F1F3C">
        <w:t xml:space="preserve"> closure of the </w:t>
      </w:r>
      <w:r w:rsidR="007031C2">
        <w:t>closure of Hazelwood power station</w:t>
      </w:r>
      <w:r w:rsidR="00B96DF8">
        <w:t xml:space="preserve"> in early 2017</w:t>
      </w:r>
      <w:r w:rsidR="00632B3C">
        <w:t xml:space="preserve"> and Northern power station in May 2016</w:t>
      </w:r>
      <w:r w:rsidRPr="001F1F3C">
        <w:t>.</w:t>
      </w:r>
    </w:p>
    <w:p w14:paraId="7DF2D800" w14:textId="77777777" w:rsidR="00A22928" w:rsidRPr="001F1F3C" w:rsidRDefault="00A22928" w:rsidP="00A22928">
      <w:pPr>
        <w:pStyle w:val="Caption"/>
      </w:pPr>
      <w:bookmarkStart w:id="119" w:name="_Toc522199778"/>
      <w:bookmarkStart w:id="120" w:name="_Toc522635722"/>
      <w:bookmarkStart w:id="121" w:name="_Toc461142064"/>
      <w:r>
        <w:t xml:space="preserve">Table </w:t>
      </w:r>
      <w:r w:rsidR="00941B67">
        <w:rPr>
          <w:noProof/>
        </w:rPr>
        <w:fldChar w:fldCharType="begin"/>
      </w:r>
      <w:r w:rsidR="00941B67">
        <w:rPr>
          <w:noProof/>
        </w:rPr>
        <w:instrText xml:space="preserve"> STYLEREF 1 \s </w:instrText>
      </w:r>
      <w:r w:rsidR="00941B67">
        <w:rPr>
          <w:noProof/>
        </w:rPr>
        <w:fldChar w:fldCharType="separate"/>
      </w:r>
      <w:r w:rsidR="00D72ABB">
        <w:rPr>
          <w:noProof/>
        </w:rPr>
        <w:t>3</w:t>
      </w:r>
      <w:r w:rsidR="00941B67">
        <w:rPr>
          <w:noProof/>
        </w:rPr>
        <w:fldChar w:fldCharType="end"/>
      </w:r>
      <w:r>
        <w:t>.</w:t>
      </w:r>
      <w:r w:rsidR="00941B67">
        <w:rPr>
          <w:noProof/>
        </w:rPr>
        <w:fldChar w:fldCharType="begin"/>
      </w:r>
      <w:r w:rsidR="00941B67">
        <w:rPr>
          <w:noProof/>
        </w:rPr>
        <w:instrText xml:space="preserve"> SEQ Table \* ARABIC \s 1 </w:instrText>
      </w:r>
      <w:r w:rsidR="00941B67">
        <w:rPr>
          <w:noProof/>
        </w:rPr>
        <w:fldChar w:fldCharType="separate"/>
      </w:r>
      <w:r w:rsidR="00D72ABB">
        <w:rPr>
          <w:noProof/>
        </w:rPr>
        <w:t>1</w:t>
      </w:r>
      <w:r w:rsidR="00941B67">
        <w:rPr>
          <w:noProof/>
        </w:rPr>
        <w:fldChar w:fldCharType="end"/>
      </w:r>
      <w:r>
        <w:t xml:space="preserve">: </w:t>
      </w:r>
      <w:r w:rsidRPr="001F1F3C">
        <w:t>Australian energy production, by fuel type</w:t>
      </w:r>
      <w:bookmarkEnd w:id="119"/>
      <w:bookmarkEnd w:id="120"/>
    </w:p>
    <w:tbl>
      <w:tblPr>
        <w:tblW w:w="6894" w:type="dxa"/>
        <w:tblLook w:val="04A0" w:firstRow="1" w:lastRow="0" w:firstColumn="1" w:lastColumn="0" w:noHBand="0" w:noVBand="1"/>
      </w:tblPr>
      <w:tblGrid>
        <w:gridCol w:w="1560"/>
        <w:gridCol w:w="1417"/>
        <w:gridCol w:w="1047"/>
        <w:gridCol w:w="467"/>
        <w:gridCol w:w="1115"/>
        <w:gridCol w:w="1288"/>
      </w:tblGrid>
      <w:tr w:rsidR="00A22928" w:rsidRPr="001F1F3C" w14:paraId="78ADA533" w14:textId="77777777" w:rsidTr="00865D28">
        <w:trPr>
          <w:trHeight w:val="300"/>
        </w:trPr>
        <w:tc>
          <w:tcPr>
            <w:tcW w:w="1560" w:type="dxa"/>
            <w:tcBorders>
              <w:top w:val="nil"/>
              <w:left w:val="nil"/>
              <w:bottom w:val="nil"/>
              <w:right w:val="nil"/>
            </w:tcBorders>
            <w:shd w:val="clear" w:color="000000" w:fill="22789A"/>
            <w:noWrap/>
            <w:vAlign w:val="center"/>
            <w:hideMark/>
          </w:tcPr>
          <w:p w14:paraId="6855634C" w14:textId="77777777" w:rsidR="00A22928" w:rsidRPr="001F1F3C" w:rsidRDefault="00A22928" w:rsidP="00865D28">
            <w:pPr>
              <w:spacing w:after="0" w:line="24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464" w:type="dxa"/>
            <w:gridSpan w:val="2"/>
            <w:tcBorders>
              <w:top w:val="nil"/>
              <w:left w:val="nil"/>
              <w:bottom w:val="nil"/>
              <w:right w:val="nil"/>
            </w:tcBorders>
            <w:shd w:val="clear" w:color="000000" w:fill="22789A"/>
            <w:noWrap/>
            <w:vAlign w:val="center"/>
            <w:hideMark/>
          </w:tcPr>
          <w:p w14:paraId="2ECF38A5" w14:textId="77777777" w:rsidR="00A22928" w:rsidRPr="001F1F3C" w:rsidRDefault="00A22928" w:rsidP="00865D28">
            <w:pPr>
              <w:spacing w:after="0" w:line="240" w:lineRule="auto"/>
              <w:ind w:left="0"/>
              <w:jc w:val="center"/>
              <w:rPr>
                <w:rFonts w:eastAsia="Times New Roman" w:cs="Arial"/>
                <w:i/>
                <w:iCs/>
                <w:color w:val="FFFFFF"/>
                <w:sz w:val="18"/>
                <w:szCs w:val="18"/>
                <w:lang w:eastAsia="en-AU"/>
              </w:rPr>
            </w:pPr>
            <w:r w:rsidRPr="001F1F3C">
              <w:rPr>
                <w:rFonts w:eastAsia="Times New Roman" w:cs="Arial"/>
                <w:i/>
                <w:iCs/>
                <w:color w:val="FFFFFF"/>
                <w:sz w:val="18"/>
                <w:szCs w:val="18"/>
                <w:lang w:eastAsia="en-AU"/>
              </w:rPr>
              <w:t>2016–17</w:t>
            </w:r>
          </w:p>
        </w:tc>
        <w:tc>
          <w:tcPr>
            <w:tcW w:w="467" w:type="dxa"/>
            <w:tcBorders>
              <w:top w:val="nil"/>
              <w:left w:val="nil"/>
              <w:bottom w:val="nil"/>
              <w:right w:val="nil"/>
            </w:tcBorders>
            <w:shd w:val="clear" w:color="000000" w:fill="22789A"/>
            <w:noWrap/>
            <w:vAlign w:val="center"/>
            <w:hideMark/>
          </w:tcPr>
          <w:p w14:paraId="5EBCEA35" w14:textId="77777777" w:rsidR="00A22928" w:rsidRPr="001F1F3C" w:rsidRDefault="00A22928" w:rsidP="00865D28">
            <w:pPr>
              <w:spacing w:after="0" w:line="24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403" w:type="dxa"/>
            <w:gridSpan w:val="2"/>
            <w:tcBorders>
              <w:top w:val="nil"/>
              <w:left w:val="nil"/>
              <w:bottom w:val="nil"/>
              <w:right w:val="nil"/>
            </w:tcBorders>
            <w:shd w:val="clear" w:color="000000" w:fill="22789A"/>
            <w:noWrap/>
            <w:vAlign w:val="center"/>
            <w:hideMark/>
          </w:tcPr>
          <w:p w14:paraId="1071CC0C" w14:textId="77777777" w:rsidR="00A22928" w:rsidRPr="001F1F3C" w:rsidRDefault="00A22928" w:rsidP="00865D28">
            <w:pPr>
              <w:spacing w:after="0" w:line="240" w:lineRule="auto"/>
              <w:ind w:left="0"/>
              <w:jc w:val="center"/>
              <w:rPr>
                <w:rFonts w:eastAsia="Times New Roman" w:cs="Arial"/>
                <w:i/>
                <w:iCs/>
                <w:color w:val="FFFFFF"/>
                <w:sz w:val="18"/>
                <w:szCs w:val="18"/>
                <w:lang w:eastAsia="en-AU"/>
              </w:rPr>
            </w:pPr>
            <w:r w:rsidRPr="001F1F3C">
              <w:rPr>
                <w:rFonts w:eastAsia="Times New Roman" w:cs="Arial"/>
                <w:i/>
                <w:iCs/>
                <w:color w:val="FFFFFF"/>
                <w:sz w:val="18"/>
                <w:szCs w:val="18"/>
                <w:lang w:eastAsia="en-AU"/>
              </w:rPr>
              <w:t>Average annual growth</w:t>
            </w:r>
          </w:p>
        </w:tc>
      </w:tr>
      <w:tr w:rsidR="00A22928" w:rsidRPr="001F1F3C" w14:paraId="7352B241" w14:textId="77777777" w:rsidTr="00865D28">
        <w:trPr>
          <w:trHeight w:val="300"/>
        </w:trPr>
        <w:tc>
          <w:tcPr>
            <w:tcW w:w="1560" w:type="dxa"/>
            <w:vMerge w:val="restart"/>
            <w:tcBorders>
              <w:top w:val="nil"/>
              <w:left w:val="nil"/>
              <w:bottom w:val="nil"/>
              <w:right w:val="nil"/>
            </w:tcBorders>
            <w:shd w:val="clear" w:color="000000" w:fill="CAE7F3"/>
            <w:noWrap/>
            <w:vAlign w:val="center"/>
            <w:hideMark/>
          </w:tcPr>
          <w:p w14:paraId="38A78240" w14:textId="77777777" w:rsidR="00A22928" w:rsidRPr="001F1F3C" w:rsidRDefault="00A22928" w:rsidP="00865D28">
            <w:pPr>
              <w:spacing w:after="0" w:line="24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1417" w:type="dxa"/>
            <w:vMerge w:val="restart"/>
            <w:tcBorders>
              <w:top w:val="nil"/>
              <w:left w:val="nil"/>
              <w:bottom w:val="nil"/>
              <w:right w:val="nil"/>
            </w:tcBorders>
            <w:shd w:val="clear" w:color="000000" w:fill="CAE7F3"/>
            <w:noWrap/>
            <w:vAlign w:val="center"/>
            <w:hideMark/>
          </w:tcPr>
          <w:p w14:paraId="0D3C9A4F" w14:textId="77777777" w:rsidR="00A22928" w:rsidRPr="001F1F3C" w:rsidRDefault="00A22928" w:rsidP="00865D28">
            <w:pPr>
              <w:spacing w:after="0" w:line="240" w:lineRule="auto"/>
              <w:ind w:left="0"/>
              <w:jc w:val="right"/>
              <w:rPr>
                <w:rFonts w:eastAsia="Times New Roman" w:cs="Arial"/>
                <w:sz w:val="18"/>
                <w:szCs w:val="18"/>
                <w:lang w:eastAsia="en-AU"/>
              </w:rPr>
            </w:pPr>
            <w:r w:rsidRPr="001F1F3C">
              <w:rPr>
                <w:rFonts w:eastAsia="Times New Roman" w:cs="Arial"/>
                <w:sz w:val="18"/>
                <w:szCs w:val="18"/>
                <w:lang w:eastAsia="en-AU"/>
              </w:rPr>
              <w:t>PJ</w:t>
            </w:r>
          </w:p>
        </w:tc>
        <w:tc>
          <w:tcPr>
            <w:tcW w:w="1047" w:type="dxa"/>
            <w:tcBorders>
              <w:top w:val="nil"/>
              <w:left w:val="nil"/>
              <w:bottom w:val="nil"/>
              <w:right w:val="nil"/>
            </w:tcBorders>
            <w:shd w:val="clear" w:color="000000" w:fill="CAE7F3"/>
            <w:noWrap/>
            <w:vAlign w:val="center"/>
            <w:hideMark/>
          </w:tcPr>
          <w:p w14:paraId="68F87FFE" w14:textId="77777777" w:rsidR="00A22928" w:rsidRPr="001F1F3C" w:rsidRDefault="00A22928" w:rsidP="00865D28">
            <w:pPr>
              <w:spacing w:after="0" w:line="240" w:lineRule="auto"/>
              <w:ind w:left="0"/>
              <w:jc w:val="right"/>
              <w:rPr>
                <w:rFonts w:eastAsia="Times New Roman" w:cs="Arial"/>
                <w:sz w:val="18"/>
                <w:szCs w:val="18"/>
                <w:lang w:eastAsia="en-AU"/>
              </w:rPr>
            </w:pPr>
            <w:r w:rsidRPr="001F1F3C">
              <w:rPr>
                <w:rFonts w:eastAsia="Times New Roman" w:cs="Arial"/>
                <w:sz w:val="18"/>
                <w:szCs w:val="18"/>
                <w:lang w:eastAsia="en-AU"/>
              </w:rPr>
              <w:t>share</w:t>
            </w:r>
          </w:p>
        </w:tc>
        <w:tc>
          <w:tcPr>
            <w:tcW w:w="467" w:type="dxa"/>
            <w:vMerge w:val="restart"/>
            <w:tcBorders>
              <w:top w:val="nil"/>
              <w:left w:val="nil"/>
              <w:bottom w:val="nil"/>
              <w:right w:val="nil"/>
            </w:tcBorders>
            <w:shd w:val="clear" w:color="000000" w:fill="CAE7F3"/>
            <w:noWrap/>
            <w:vAlign w:val="center"/>
            <w:hideMark/>
          </w:tcPr>
          <w:p w14:paraId="2053356D" w14:textId="77777777" w:rsidR="00A22928" w:rsidRPr="001F1F3C" w:rsidRDefault="00A22928" w:rsidP="00865D28">
            <w:pPr>
              <w:spacing w:after="0" w:line="24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1115" w:type="dxa"/>
            <w:tcBorders>
              <w:top w:val="nil"/>
              <w:left w:val="nil"/>
              <w:bottom w:val="nil"/>
              <w:right w:val="nil"/>
            </w:tcBorders>
            <w:shd w:val="clear" w:color="000000" w:fill="CAE7F3"/>
            <w:noWrap/>
            <w:vAlign w:val="center"/>
            <w:hideMark/>
          </w:tcPr>
          <w:p w14:paraId="33355DA1" w14:textId="77777777" w:rsidR="00A22928" w:rsidRPr="001F1F3C" w:rsidRDefault="00A22928" w:rsidP="00865D28">
            <w:pPr>
              <w:spacing w:after="0" w:line="240" w:lineRule="auto"/>
              <w:ind w:left="0"/>
              <w:jc w:val="right"/>
              <w:rPr>
                <w:rFonts w:eastAsia="Times New Roman" w:cs="Arial"/>
                <w:sz w:val="18"/>
                <w:szCs w:val="18"/>
                <w:lang w:eastAsia="en-AU"/>
              </w:rPr>
            </w:pPr>
            <w:r w:rsidRPr="001F1F3C">
              <w:rPr>
                <w:rFonts w:eastAsia="Times New Roman" w:cs="Arial"/>
                <w:sz w:val="18"/>
                <w:szCs w:val="18"/>
                <w:lang w:eastAsia="en-AU"/>
              </w:rPr>
              <w:t>2016–17</w:t>
            </w:r>
          </w:p>
        </w:tc>
        <w:tc>
          <w:tcPr>
            <w:tcW w:w="1288" w:type="dxa"/>
            <w:tcBorders>
              <w:top w:val="nil"/>
              <w:left w:val="nil"/>
              <w:bottom w:val="nil"/>
              <w:right w:val="nil"/>
            </w:tcBorders>
            <w:shd w:val="clear" w:color="000000" w:fill="CAE7F3"/>
            <w:noWrap/>
            <w:vAlign w:val="center"/>
            <w:hideMark/>
          </w:tcPr>
          <w:p w14:paraId="2155CAD3" w14:textId="77777777" w:rsidR="00A22928" w:rsidRPr="001F1F3C" w:rsidRDefault="00A22928" w:rsidP="00865D28">
            <w:pPr>
              <w:spacing w:after="0" w:line="240" w:lineRule="auto"/>
              <w:ind w:left="0"/>
              <w:jc w:val="right"/>
              <w:rPr>
                <w:rFonts w:eastAsia="Times New Roman" w:cs="Arial"/>
                <w:sz w:val="18"/>
                <w:szCs w:val="18"/>
                <w:lang w:eastAsia="en-AU"/>
              </w:rPr>
            </w:pPr>
            <w:r w:rsidRPr="001F1F3C">
              <w:rPr>
                <w:rFonts w:eastAsia="Times New Roman" w:cs="Arial"/>
                <w:sz w:val="18"/>
                <w:szCs w:val="18"/>
                <w:lang w:eastAsia="en-AU"/>
              </w:rPr>
              <w:t>10 years</w:t>
            </w:r>
          </w:p>
        </w:tc>
      </w:tr>
      <w:tr w:rsidR="00A22928" w:rsidRPr="001F1F3C" w14:paraId="22AD99F2" w14:textId="77777777" w:rsidTr="00865D28">
        <w:trPr>
          <w:trHeight w:val="300"/>
        </w:trPr>
        <w:tc>
          <w:tcPr>
            <w:tcW w:w="1560" w:type="dxa"/>
            <w:vMerge/>
            <w:tcBorders>
              <w:top w:val="nil"/>
              <w:left w:val="nil"/>
              <w:bottom w:val="nil"/>
              <w:right w:val="nil"/>
            </w:tcBorders>
            <w:vAlign w:val="center"/>
            <w:hideMark/>
          </w:tcPr>
          <w:p w14:paraId="468D4AE5" w14:textId="77777777" w:rsidR="00A22928" w:rsidRPr="001F1F3C" w:rsidRDefault="00A22928" w:rsidP="00865D28">
            <w:pPr>
              <w:spacing w:after="0" w:line="240" w:lineRule="auto"/>
              <w:ind w:left="0"/>
              <w:jc w:val="left"/>
              <w:rPr>
                <w:rFonts w:eastAsia="Times New Roman" w:cs="Arial"/>
                <w:color w:val="000000"/>
                <w:sz w:val="22"/>
                <w:lang w:eastAsia="en-AU"/>
              </w:rPr>
            </w:pPr>
          </w:p>
        </w:tc>
        <w:tc>
          <w:tcPr>
            <w:tcW w:w="1417" w:type="dxa"/>
            <w:vMerge/>
            <w:tcBorders>
              <w:top w:val="nil"/>
              <w:left w:val="nil"/>
              <w:bottom w:val="nil"/>
              <w:right w:val="nil"/>
            </w:tcBorders>
            <w:vAlign w:val="center"/>
            <w:hideMark/>
          </w:tcPr>
          <w:p w14:paraId="357F0098" w14:textId="77777777" w:rsidR="00A22928" w:rsidRPr="001F1F3C" w:rsidRDefault="00A22928" w:rsidP="00865D28">
            <w:pPr>
              <w:spacing w:after="0" w:line="240" w:lineRule="auto"/>
              <w:ind w:left="0"/>
              <w:jc w:val="left"/>
              <w:rPr>
                <w:rFonts w:eastAsia="Times New Roman" w:cs="Arial"/>
                <w:sz w:val="18"/>
                <w:szCs w:val="18"/>
                <w:lang w:eastAsia="en-AU"/>
              </w:rPr>
            </w:pPr>
          </w:p>
        </w:tc>
        <w:tc>
          <w:tcPr>
            <w:tcW w:w="1047" w:type="dxa"/>
            <w:tcBorders>
              <w:top w:val="nil"/>
              <w:left w:val="nil"/>
              <w:bottom w:val="nil"/>
              <w:right w:val="nil"/>
            </w:tcBorders>
            <w:shd w:val="clear" w:color="000000" w:fill="CAE7F3"/>
            <w:noWrap/>
            <w:vAlign w:val="center"/>
            <w:hideMark/>
          </w:tcPr>
          <w:p w14:paraId="6446930B" w14:textId="77777777" w:rsidR="00A22928" w:rsidRPr="001F1F3C" w:rsidRDefault="00A22928" w:rsidP="00865D28">
            <w:pPr>
              <w:spacing w:after="0" w:line="24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c>
          <w:tcPr>
            <w:tcW w:w="467" w:type="dxa"/>
            <w:vMerge/>
            <w:tcBorders>
              <w:top w:val="nil"/>
              <w:left w:val="nil"/>
              <w:bottom w:val="nil"/>
              <w:right w:val="nil"/>
            </w:tcBorders>
            <w:vAlign w:val="center"/>
            <w:hideMark/>
          </w:tcPr>
          <w:p w14:paraId="0284064F" w14:textId="77777777" w:rsidR="00A22928" w:rsidRPr="001F1F3C" w:rsidRDefault="00A22928" w:rsidP="00865D28">
            <w:pPr>
              <w:spacing w:after="0" w:line="240" w:lineRule="auto"/>
              <w:ind w:left="0"/>
              <w:jc w:val="left"/>
              <w:rPr>
                <w:rFonts w:eastAsia="Times New Roman" w:cs="Arial"/>
                <w:color w:val="000000"/>
                <w:sz w:val="22"/>
                <w:lang w:eastAsia="en-AU"/>
              </w:rPr>
            </w:pPr>
          </w:p>
        </w:tc>
        <w:tc>
          <w:tcPr>
            <w:tcW w:w="1115" w:type="dxa"/>
            <w:tcBorders>
              <w:top w:val="nil"/>
              <w:left w:val="nil"/>
              <w:bottom w:val="nil"/>
              <w:right w:val="nil"/>
            </w:tcBorders>
            <w:shd w:val="clear" w:color="000000" w:fill="CAE7F3"/>
            <w:noWrap/>
            <w:vAlign w:val="center"/>
            <w:hideMark/>
          </w:tcPr>
          <w:p w14:paraId="1DF2BB19" w14:textId="77777777" w:rsidR="00A22928" w:rsidRPr="001F1F3C" w:rsidRDefault="00A22928" w:rsidP="00865D28">
            <w:pPr>
              <w:spacing w:after="0" w:line="24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c>
          <w:tcPr>
            <w:tcW w:w="1288" w:type="dxa"/>
            <w:tcBorders>
              <w:top w:val="nil"/>
              <w:left w:val="nil"/>
              <w:bottom w:val="nil"/>
              <w:right w:val="nil"/>
            </w:tcBorders>
            <w:shd w:val="clear" w:color="000000" w:fill="CAE7F3"/>
            <w:noWrap/>
            <w:vAlign w:val="center"/>
            <w:hideMark/>
          </w:tcPr>
          <w:p w14:paraId="040082FB" w14:textId="77777777" w:rsidR="00A22928" w:rsidRPr="001F1F3C" w:rsidRDefault="00A22928" w:rsidP="00865D28">
            <w:pPr>
              <w:spacing w:after="0" w:line="24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r>
      <w:tr w:rsidR="00A22928" w:rsidRPr="001F1F3C" w14:paraId="7C9557F3" w14:textId="77777777" w:rsidTr="00865D28">
        <w:trPr>
          <w:trHeight w:val="300"/>
        </w:trPr>
        <w:tc>
          <w:tcPr>
            <w:tcW w:w="1560" w:type="dxa"/>
            <w:tcBorders>
              <w:top w:val="nil"/>
              <w:left w:val="nil"/>
              <w:bottom w:val="nil"/>
              <w:right w:val="nil"/>
            </w:tcBorders>
            <w:shd w:val="clear" w:color="000000" w:fill="CAE7F3"/>
            <w:noWrap/>
            <w:vAlign w:val="bottom"/>
            <w:hideMark/>
          </w:tcPr>
          <w:p w14:paraId="78F7ACAE" w14:textId="77777777" w:rsidR="00A22928" w:rsidRPr="006D2D7B" w:rsidRDefault="00A22928" w:rsidP="00865D28">
            <w:pPr>
              <w:spacing w:after="0" w:line="240" w:lineRule="auto"/>
              <w:ind w:left="0"/>
              <w:jc w:val="left"/>
              <w:rPr>
                <w:rFonts w:eastAsia="Times New Roman" w:cs="Arial"/>
                <w:color w:val="595A5B" w:themeColor="text2"/>
                <w:sz w:val="18"/>
                <w:szCs w:val="18"/>
                <w:lang w:eastAsia="en-AU"/>
              </w:rPr>
            </w:pPr>
            <w:r w:rsidRPr="006D2D7B">
              <w:rPr>
                <w:rFonts w:cs="Arial"/>
                <w:color w:val="595A5B" w:themeColor="text2"/>
                <w:sz w:val="18"/>
                <w:szCs w:val="18"/>
              </w:rPr>
              <w:t>Black coal</w:t>
            </w:r>
          </w:p>
        </w:tc>
        <w:tc>
          <w:tcPr>
            <w:tcW w:w="1417" w:type="dxa"/>
            <w:tcBorders>
              <w:top w:val="nil"/>
              <w:left w:val="nil"/>
              <w:bottom w:val="nil"/>
              <w:right w:val="nil"/>
            </w:tcBorders>
            <w:shd w:val="clear" w:color="000000" w:fill="CAE7F3"/>
            <w:noWrap/>
            <w:vAlign w:val="center"/>
            <w:hideMark/>
          </w:tcPr>
          <w:p w14:paraId="50A89243"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12,154.4 </w:t>
            </w:r>
          </w:p>
        </w:tc>
        <w:tc>
          <w:tcPr>
            <w:tcW w:w="1047" w:type="dxa"/>
            <w:tcBorders>
              <w:top w:val="nil"/>
              <w:left w:val="nil"/>
              <w:bottom w:val="nil"/>
              <w:right w:val="nil"/>
            </w:tcBorders>
            <w:shd w:val="clear" w:color="000000" w:fill="CAE7F3"/>
            <w:noWrap/>
            <w:vAlign w:val="center"/>
            <w:hideMark/>
          </w:tcPr>
          <w:p w14:paraId="6DFFE256"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67.7</w:t>
            </w:r>
          </w:p>
        </w:tc>
        <w:tc>
          <w:tcPr>
            <w:tcW w:w="467" w:type="dxa"/>
            <w:tcBorders>
              <w:top w:val="nil"/>
              <w:left w:val="nil"/>
              <w:bottom w:val="nil"/>
              <w:right w:val="nil"/>
            </w:tcBorders>
            <w:shd w:val="clear" w:color="000000" w:fill="CAE7F3"/>
            <w:noWrap/>
            <w:vAlign w:val="center"/>
            <w:hideMark/>
          </w:tcPr>
          <w:p w14:paraId="0C9B00D2"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p>
        </w:tc>
        <w:tc>
          <w:tcPr>
            <w:tcW w:w="1115" w:type="dxa"/>
            <w:tcBorders>
              <w:top w:val="nil"/>
              <w:left w:val="nil"/>
              <w:bottom w:val="nil"/>
              <w:right w:val="nil"/>
            </w:tcBorders>
            <w:shd w:val="clear" w:color="000000" w:fill="CAE7F3"/>
            <w:noWrap/>
            <w:vAlign w:val="center"/>
            <w:hideMark/>
          </w:tcPr>
          <w:p w14:paraId="317B2A44"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0.0</w:t>
            </w:r>
          </w:p>
        </w:tc>
        <w:tc>
          <w:tcPr>
            <w:tcW w:w="1288" w:type="dxa"/>
            <w:tcBorders>
              <w:top w:val="nil"/>
              <w:left w:val="nil"/>
              <w:bottom w:val="nil"/>
              <w:right w:val="nil"/>
            </w:tcBorders>
            <w:shd w:val="clear" w:color="000000" w:fill="CAE7F3"/>
            <w:noWrap/>
            <w:vAlign w:val="center"/>
            <w:hideMark/>
          </w:tcPr>
          <w:p w14:paraId="5D115276"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3.9</w:t>
            </w:r>
          </w:p>
        </w:tc>
      </w:tr>
      <w:tr w:rsidR="00A22928" w:rsidRPr="001F1F3C" w14:paraId="72C583C2" w14:textId="77777777" w:rsidTr="00865D28">
        <w:trPr>
          <w:trHeight w:val="300"/>
        </w:trPr>
        <w:tc>
          <w:tcPr>
            <w:tcW w:w="1560" w:type="dxa"/>
            <w:tcBorders>
              <w:top w:val="nil"/>
              <w:left w:val="nil"/>
              <w:bottom w:val="nil"/>
              <w:right w:val="nil"/>
            </w:tcBorders>
            <w:shd w:val="clear" w:color="000000" w:fill="CAE7F3"/>
            <w:noWrap/>
            <w:vAlign w:val="bottom"/>
            <w:hideMark/>
          </w:tcPr>
          <w:p w14:paraId="085BF260" w14:textId="77777777" w:rsidR="00A22928" w:rsidRPr="006D2D7B" w:rsidRDefault="00A22928" w:rsidP="00865D28">
            <w:pPr>
              <w:spacing w:after="0" w:line="240" w:lineRule="auto"/>
              <w:ind w:left="0"/>
              <w:jc w:val="left"/>
              <w:rPr>
                <w:rFonts w:eastAsia="Times New Roman" w:cs="Arial"/>
                <w:color w:val="595A5B" w:themeColor="text2"/>
                <w:sz w:val="18"/>
                <w:szCs w:val="18"/>
                <w:lang w:eastAsia="en-AU"/>
              </w:rPr>
            </w:pPr>
            <w:r w:rsidRPr="006D2D7B">
              <w:rPr>
                <w:rFonts w:cs="Arial"/>
                <w:color w:val="595A5B" w:themeColor="text2"/>
                <w:sz w:val="18"/>
                <w:szCs w:val="18"/>
              </w:rPr>
              <w:t>Brown coal</w:t>
            </w:r>
          </w:p>
        </w:tc>
        <w:tc>
          <w:tcPr>
            <w:tcW w:w="1417" w:type="dxa"/>
            <w:tcBorders>
              <w:top w:val="nil"/>
              <w:left w:val="nil"/>
              <w:bottom w:val="nil"/>
              <w:right w:val="nil"/>
            </w:tcBorders>
            <w:shd w:val="clear" w:color="000000" w:fill="CAE7F3"/>
            <w:noWrap/>
            <w:vAlign w:val="center"/>
            <w:hideMark/>
          </w:tcPr>
          <w:p w14:paraId="4A6E1255"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584.2 </w:t>
            </w:r>
          </w:p>
        </w:tc>
        <w:tc>
          <w:tcPr>
            <w:tcW w:w="1047" w:type="dxa"/>
            <w:tcBorders>
              <w:top w:val="nil"/>
              <w:left w:val="nil"/>
              <w:bottom w:val="nil"/>
              <w:right w:val="nil"/>
            </w:tcBorders>
            <w:shd w:val="clear" w:color="000000" w:fill="CAE7F3"/>
            <w:noWrap/>
            <w:vAlign w:val="center"/>
            <w:hideMark/>
          </w:tcPr>
          <w:p w14:paraId="7BC22F53"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3.3</w:t>
            </w:r>
          </w:p>
        </w:tc>
        <w:tc>
          <w:tcPr>
            <w:tcW w:w="467" w:type="dxa"/>
            <w:tcBorders>
              <w:top w:val="nil"/>
              <w:left w:val="nil"/>
              <w:bottom w:val="nil"/>
              <w:right w:val="nil"/>
            </w:tcBorders>
            <w:shd w:val="clear" w:color="000000" w:fill="CAE7F3"/>
            <w:noWrap/>
            <w:vAlign w:val="center"/>
            <w:hideMark/>
          </w:tcPr>
          <w:p w14:paraId="639E8B4C"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p>
        </w:tc>
        <w:tc>
          <w:tcPr>
            <w:tcW w:w="1115" w:type="dxa"/>
            <w:tcBorders>
              <w:top w:val="nil"/>
              <w:left w:val="nil"/>
              <w:bottom w:val="nil"/>
              <w:right w:val="nil"/>
            </w:tcBorders>
            <w:shd w:val="clear" w:color="000000" w:fill="CAE7F3"/>
            <w:noWrap/>
            <w:vAlign w:val="center"/>
            <w:hideMark/>
          </w:tcPr>
          <w:p w14:paraId="5452BE19"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-8.0</w:t>
            </w:r>
          </w:p>
        </w:tc>
        <w:tc>
          <w:tcPr>
            <w:tcW w:w="1288" w:type="dxa"/>
            <w:tcBorders>
              <w:top w:val="nil"/>
              <w:left w:val="nil"/>
              <w:bottom w:val="nil"/>
              <w:right w:val="nil"/>
            </w:tcBorders>
            <w:shd w:val="clear" w:color="000000" w:fill="CAE7F3"/>
            <w:noWrap/>
            <w:vAlign w:val="center"/>
            <w:hideMark/>
          </w:tcPr>
          <w:p w14:paraId="0553969C"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-2.5</w:t>
            </w:r>
          </w:p>
        </w:tc>
      </w:tr>
      <w:tr w:rsidR="00A22928" w:rsidRPr="001F1F3C" w14:paraId="2A49B92D" w14:textId="77777777" w:rsidTr="00865D28">
        <w:trPr>
          <w:trHeight w:val="300"/>
        </w:trPr>
        <w:tc>
          <w:tcPr>
            <w:tcW w:w="1560" w:type="dxa"/>
            <w:tcBorders>
              <w:top w:val="nil"/>
              <w:left w:val="nil"/>
              <w:bottom w:val="nil"/>
              <w:right w:val="nil"/>
            </w:tcBorders>
            <w:shd w:val="clear" w:color="000000" w:fill="CAE7F3"/>
            <w:noWrap/>
            <w:vAlign w:val="bottom"/>
            <w:hideMark/>
          </w:tcPr>
          <w:p w14:paraId="1E5CA64F" w14:textId="0C785183" w:rsidR="00A22928" w:rsidRPr="006D2D7B" w:rsidRDefault="0033249C" w:rsidP="0033249C">
            <w:pPr>
              <w:spacing w:after="0" w:line="240" w:lineRule="auto"/>
              <w:ind w:left="0"/>
              <w:jc w:val="left"/>
              <w:rPr>
                <w:rFonts w:eastAsia="Times New Roman" w:cs="Arial"/>
                <w:color w:val="595A5B" w:themeColor="text2"/>
                <w:sz w:val="18"/>
                <w:szCs w:val="18"/>
                <w:lang w:eastAsia="en-AU"/>
              </w:rPr>
            </w:pPr>
            <w:r w:rsidRPr="006D2D7B">
              <w:rPr>
                <w:rFonts w:cs="Arial"/>
                <w:color w:val="595A5B" w:themeColor="text2"/>
                <w:sz w:val="18"/>
                <w:szCs w:val="18"/>
              </w:rPr>
              <w:t>Natural g</w:t>
            </w:r>
            <w:r w:rsidR="00A22928" w:rsidRPr="006D2D7B">
              <w:rPr>
                <w:rFonts w:cs="Arial"/>
                <w:color w:val="595A5B" w:themeColor="text2"/>
                <w:sz w:val="18"/>
                <w:szCs w:val="18"/>
              </w:rPr>
              <w:t>as</w:t>
            </w:r>
          </w:p>
        </w:tc>
        <w:tc>
          <w:tcPr>
            <w:tcW w:w="1417" w:type="dxa"/>
            <w:tcBorders>
              <w:top w:val="nil"/>
              <w:left w:val="nil"/>
              <w:bottom w:val="nil"/>
              <w:right w:val="nil"/>
            </w:tcBorders>
            <w:shd w:val="clear" w:color="000000" w:fill="CAE7F3"/>
            <w:noWrap/>
            <w:vAlign w:val="center"/>
            <w:hideMark/>
          </w:tcPr>
          <w:p w14:paraId="6364EFDA"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4,154.8 </w:t>
            </w:r>
          </w:p>
        </w:tc>
        <w:tc>
          <w:tcPr>
            <w:tcW w:w="1047" w:type="dxa"/>
            <w:tcBorders>
              <w:top w:val="nil"/>
              <w:left w:val="nil"/>
              <w:bottom w:val="nil"/>
              <w:right w:val="nil"/>
            </w:tcBorders>
            <w:shd w:val="clear" w:color="000000" w:fill="CAE7F3"/>
            <w:noWrap/>
            <w:vAlign w:val="center"/>
            <w:hideMark/>
          </w:tcPr>
          <w:p w14:paraId="32525F27"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23.1</w:t>
            </w:r>
          </w:p>
        </w:tc>
        <w:tc>
          <w:tcPr>
            <w:tcW w:w="467" w:type="dxa"/>
            <w:tcBorders>
              <w:top w:val="nil"/>
              <w:left w:val="nil"/>
              <w:bottom w:val="nil"/>
              <w:right w:val="nil"/>
            </w:tcBorders>
            <w:shd w:val="clear" w:color="000000" w:fill="CAE7F3"/>
            <w:noWrap/>
            <w:vAlign w:val="center"/>
            <w:hideMark/>
          </w:tcPr>
          <w:p w14:paraId="1D1936A8"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p>
        </w:tc>
        <w:tc>
          <w:tcPr>
            <w:tcW w:w="1115" w:type="dxa"/>
            <w:tcBorders>
              <w:top w:val="nil"/>
              <w:left w:val="nil"/>
              <w:bottom w:val="nil"/>
              <w:right w:val="nil"/>
            </w:tcBorders>
            <w:shd w:val="clear" w:color="000000" w:fill="CAE7F3"/>
            <w:noWrap/>
            <w:vAlign w:val="center"/>
            <w:hideMark/>
          </w:tcPr>
          <w:p w14:paraId="6B529C8D"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22.7</w:t>
            </w:r>
          </w:p>
        </w:tc>
        <w:tc>
          <w:tcPr>
            <w:tcW w:w="1288" w:type="dxa"/>
            <w:tcBorders>
              <w:top w:val="nil"/>
              <w:left w:val="nil"/>
              <w:bottom w:val="nil"/>
              <w:right w:val="nil"/>
            </w:tcBorders>
            <w:shd w:val="clear" w:color="000000" w:fill="CAE7F3"/>
            <w:noWrap/>
            <w:vAlign w:val="center"/>
            <w:hideMark/>
          </w:tcPr>
          <w:p w14:paraId="5B4CBF0A"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9.4</w:t>
            </w:r>
          </w:p>
        </w:tc>
      </w:tr>
      <w:tr w:rsidR="00A22928" w:rsidRPr="001F1F3C" w14:paraId="32098AFD" w14:textId="77777777" w:rsidTr="00865D28">
        <w:trPr>
          <w:trHeight w:val="300"/>
        </w:trPr>
        <w:tc>
          <w:tcPr>
            <w:tcW w:w="1560" w:type="dxa"/>
            <w:tcBorders>
              <w:top w:val="nil"/>
              <w:left w:val="nil"/>
              <w:bottom w:val="nil"/>
              <w:right w:val="nil"/>
            </w:tcBorders>
            <w:shd w:val="clear" w:color="000000" w:fill="CAE7F3"/>
            <w:noWrap/>
            <w:vAlign w:val="bottom"/>
            <w:hideMark/>
          </w:tcPr>
          <w:p w14:paraId="6951C551" w14:textId="77777777" w:rsidR="00A22928" w:rsidRPr="006D2D7B" w:rsidRDefault="00A22928" w:rsidP="00865D28">
            <w:pPr>
              <w:spacing w:after="0" w:line="240" w:lineRule="auto"/>
              <w:ind w:left="0"/>
              <w:jc w:val="left"/>
              <w:rPr>
                <w:rFonts w:eastAsia="Times New Roman" w:cs="Arial"/>
                <w:color w:val="595A5B" w:themeColor="text2"/>
                <w:sz w:val="18"/>
                <w:szCs w:val="18"/>
                <w:lang w:eastAsia="en-AU"/>
              </w:rPr>
            </w:pPr>
            <w:r w:rsidRPr="006D2D7B">
              <w:rPr>
                <w:rFonts w:cs="Arial"/>
                <w:color w:val="595A5B" w:themeColor="text2"/>
                <w:sz w:val="18"/>
                <w:szCs w:val="18"/>
              </w:rPr>
              <w:t>Oil and NGL</w:t>
            </w:r>
          </w:p>
        </w:tc>
        <w:tc>
          <w:tcPr>
            <w:tcW w:w="1417" w:type="dxa"/>
            <w:tcBorders>
              <w:top w:val="nil"/>
              <w:left w:val="nil"/>
              <w:bottom w:val="nil"/>
              <w:right w:val="nil"/>
            </w:tcBorders>
            <w:shd w:val="clear" w:color="000000" w:fill="CAE7F3"/>
            <w:noWrap/>
            <w:vAlign w:val="center"/>
            <w:hideMark/>
          </w:tcPr>
          <w:p w14:paraId="010BA9B1"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596.9 </w:t>
            </w:r>
          </w:p>
        </w:tc>
        <w:tc>
          <w:tcPr>
            <w:tcW w:w="1047" w:type="dxa"/>
            <w:tcBorders>
              <w:top w:val="nil"/>
              <w:left w:val="nil"/>
              <w:bottom w:val="nil"/>
              <w:right w:val="nil"/>
            </w:tcBorders>
            <w:shd w:val="clear" w:color="000000" w:fill="CAE7F3"/>
            <w:noWrap/>
            <w:vAlign w:val="center"/>
            <w:hideMark/>
          </w:tcPr>
          <w:p w14:paraId="3779A90B"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3.3</w:t>
            </w:r>
          </w:p>
        </w:tc>
        <w:tc>
          <w:tcPr>
            <w:tcW w:w="467" w:type="dxa"/>
            <w:tcBorders>
              <w:top w:val="nil"/>
              <w:left w:val="nil"/>
              <w:bottom w:val="nil"/>
              <w:right w:val="nil"/>
            </w:tcBorders>
            <w:shd w:val="clear" w:color="000000" w:fill="CAE7F3"/>
            <w:noWrap/>
            <w:vAlign w:val="center"/>
            <w:hideMark/>
          </w:tcPr>
          <w:p w14:paraId="5156D83F"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p>
        </w:tc>
        <w:tc>
          <w:tcPr>
            <w:tcW w:w="1115" w:type="dxa"/>
            <w:tcBorders>
              <w:top w:val="nil"/>
              <w:left w:val="nil"/>
              <w:bottom w:val="nil"/>
              <w:right w:val="nil"/>
            </w:tcBorders>
            <w:shd w:val="clear" w:color="000000" w:fill="CAE7F3"/>
            <w:noWrap/>
            <w:vAlign w:val="center"/>
            <w:hideMark/>
          </w:tcPr>
          <w:p w14:paraId="0BB2D89C"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-12.3</w:t>
            </w:r>
          </w:p>
        </w:tc>
        <w:tc>
          <w:tcPr>
            <w:tcW w:w="1288" w:type="dxa"/>
            <w:tcBorders>
              <w:top w:val="nil"/>
              <w:left w:val="nil"/>
              <w:bottom w:val="nil"/>
              <w:right w:val="nil"/>
            </w:tcBorders>
            <w:shd w:val="clear" w:color="000000" w:fill="CAE7F3"/>
            <w:noWrap/>
            <w:vAlign w:val="center"/>
            <w:hideMark/>
          </w:tcPr>
          <w:p w14:paraId="672C857A"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-5.1</w:t>
            </w:r>
          </w:p>
        </w:tc>
      </w:tr>
      <w:tr w:rsidR="00A22928" w:rsidRPr="001F1F3C" w14:paraId="42391451" w14:textId="77777777" w:rsidTr="00865D28">
        <w:trPr>
          <w:trHeight w:val="300"/>
        </w:trPr>
        <w:tc>
          <w:tcPr>
            <w:tcW w:w="1560" w:type="dxa"/>
            <w:tcBorders>
              <w:top w:val="nil"/>
              <w:left w:val="nil"/>
              <w:bottom w:val="nil"/>
              <w:right w:val="nil"/>
            </w:tcBorders>
            <w:shd w:val="clear" w:color="000000" w:fill="CAE7F3"/>
            <w:noWrap/>
            <w:vAlign w:val="bottom"/>
            <w:hideMark/>
          </w:tcPr>
          <w:p w14:paraId="3325D471" w14:textId="77777777" w:rsidR="00A22928" w:rsidRPr="006D2D7B" w:rsidRDefault="00A22928" w:rsidP="00865D28">
            <w:pPr>
              <w:spacing w:after="0" w:line="240" w:lineRule="auto"/>
              <w:ind w:left="0"/>
              <w:jc w:val="left"/>
              <w:rPr>
                <w:rFonts w:eastAsia="Times New Roman" w:cs="Arial"/>
                <w:color w:val="595A5B" w:themeColor="text2"/>
                <w:sz w:val="18"/>
                <w:szCs w:val="18"/>
                <w:lang w:eastAsia="en-AU"/>
              </w:rPr>
            </w:pPr>
            <w:r w:rsidRPr="006D2D7B">
              <w:rPr>
                <w:rFonts w:cs="Arial"/>
                <w:color w:val="595A5B" w:themeColor="text2"/>
                <w:sz w:val="18"/>
                <w:szCs w:val="18"/>
              </w:rPr>
              <w:t>LPG</w:t>
            </w:r>
          </w:p>
        </w:tc>
        <w:tc>
          <w:tcPr>
            <w:tcW w:w="1417" w:type="dxa"/>
            <w:tcBorders>
              <w:top w:val="nil"/>
              <w:left w:val="nil"/>
              <w:bottom w:val="nil"/>
              <w:right w:val="nil"/>
            </w:tcBorders>
            <w:shd w:val="clear" w:color="000000" w:fill="CAE7F3"/>
            <w:noWrap/>
            <w:vAlign w:val="center"/>
            <w:hideMark/>
          </w:tcPr>
          <w:p w14:paraId="4D53C64C"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88.1 </w:t>
            </w:r>
          </w:p>
        </w:tc>
        <w:tc>
          <w:tcPr>
            <w:tcW w:w="1047" w:type="dxa"/>
            <w:tcBorders>
              <w:top w:val="nil"/>
              <w:left w:val="nil"/>
              <w:bottom w:val="nil"/>
              <w:right w:val="nil"/>
            </w:tcBorders>
            <w:shd w:val="clear" w:color="000000" w:fill="CAE7F3"/>
            <w:noWrap/>
            <w:vAlign w:val="center"/>
            <w:hideMark/>
          </w:tcPr>
          <w:p w14:paraId="21EB23E2"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0.5</w:t>
            </w:r>
          </w:p>
        </w:tc>
        <w:tc>
          <w:tcPr>
            <w:tcW w:w="467" w:type="dxa"/>
            <w:tcBorders>
              <w:top w:val="nil"/>
              <w:left w:val="nil"/>
              <w:bottom w:val="nil"/>
              <w:right w:val="nil"/>
            </w:tcBorders>
            <w:shd w:val="clear" w:color="000000" w:fill="CAE7F3"/>
            <w:noWrap/>
            <w:vAlign w:val="center"/>
            <w:hideMark/>
          </w:tcPr>
          <w:p w14:paraId="54CC5983"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p>
        </w:tc>
        <w:tc>
          <w:tcPr>
            <w:tcW w:w="1115" w:type="dxa"/>
            <w:tcBorders>
              <w:top w:val="nil"/>
              <w:left w:val="nil"/>
              <w:bottom w:val="nil"/>
              <w:right w:val="nil"/>
            </w:tcBorders>
            <w:shd w:val="clear" w:color="000000" w:fill="CAE7F3"/>
            <w:noWrap/>
            <w:vAlign w:val="center"/>
            <w:hideMark/>
          </w:tcPr>
          <w:p w14:paraId="3E92CA36"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-2.4</w:t>
            </w:r>
          </w:p>
        </w:tc>
        <w:tc>
          <w:tcPr>
            <w:tcW w:w="1288" w:type="dxa"/>
            <w:tcBorders>
              <w:top w:val="nil"/>
              <w:left w:val="nil"/>
              <w:bottom w:val="nil"/>
              <w:right w:val="nil"/>
            </w:tcBorders>
            <w:shd w:val="clear" w:color="000000" w:fill="CAE7F3"/>
            <w:noWrap/>
            <w:vAlign w:val="center"/>
            <w:hideMark/>
          </w:tcPr>
          <w:p w14:paraId="2064485E"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-2.2</w:t>
            </w:r>
          </w:p>
        </w:tc>
      </w:tr>
      <w:tr w:rsidR="00A22928" w:rsidRPr="001F1F3C" w14:paraId="0C861EEE" w14:textId="77777777" w:rsidTr="00865D28">
        <w:trPr>
          <w:trHeight w:val="300"/>
        </w:trPr>
        <w:tc>
          <w:tcPr>
            <w:tcW w:w="1560" w:type="dxa"/>
            <w:tcBorders>
              <w:top w:val="nil"/>
              <w:left w:val="nil"/>
              <w:bottom w:val="nil"/>
              <w:right w:val="nil"/>
            </w:tcBorders>
            <w:shd w:val="clear" w:color="000000" w:fill="CAE7F3"/>
            <w:noWrap/>
            <w:vAlign w:val="bottom"/>
            <w:hideMark/>
          </w:tcPr>
          <w:p w14:paraId="22CD3CEC" w14:textId="77777777" w:rsidR="00A22928" w:rsidRPr="006D2D7B" w:rsidRDefault="00A22928" w:rsidP="00865D28">
            <w:pPr>
              <w:spacing w:after="0" w:line="240" w:lineRule="auto"/>
              <w:ind w:left="0"/>
              <w:jc w:val="left"/>
              <w:rPr>
                <w:rFonts w:eastAsia="Times New Roman" w:cs="Arial"/>
                <w:color w:val="595A5B" w:themeColor="text2"/>
                <w:sz w:val="18"/>
                <w:szCs w:val="18"/>
                <w:lang w:eastAsia="en-AU"/>
              </w:rPr>
            </w:pPr>
            <w:r w:rsidRPr="006D2D7B">
              <w:rPr>
                <w:rFonts w:cs="Arial"/>
                <w:color w:val="595A5B" w:themeColor="text2"/>
                <w:sz w:val="18"/>
                <w:szCs w:val="18"/>
              </w:rPr>
              <w:t>Renewables</w:t>
            </w:r>
          </w:p>
        </w:tc>
        <w:tc>
          <w:tcPr>
            <w:tcW w:w="1417" w:type="dxa"/>
            <w:tcBorders>
              <w:top w:val="nil"/>
              <w:left w:val="nil"/>
              <w:bottom w:val="nil"/>
              <w:right w:val="nil"/>
            </w:tcBorders>
            <w:shd w:val="clear" w:color="000000" w:fill="CAE7F3"/>
            <w:noWrap/>
            <w:vAlign w:val="center"/>
            <w:hideMark/>
          </w:tcPr>
          <w:p w14:paraId="36A6E6E0"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378.7 </w:t>
            </w:r>
          </w:p>
        </w:tc>
        <w:tc>
          <w:tcPr>
            <w:tcW w:w="1047" w:type="dxa"/>
            <w:tcBorders>
              <w:top w:val="nil"/>
              <w:left w:val="nil"/>
              <w:bottom w:val="nil"/>
              <w:right w:val="nil"/>
            </w:tcBorders>
            <w:shd w:val="clear" w:color="000000" w:fill="CAE7F3"/>
            <w:noWrap/>
            <w:vAlign w:val="center"/>
            <w:hideMark/>
          </w:tcPr>
          <w:p w14:paraId="3BF4019B"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2.1</w:t>
            </w:r>
          </w:p>
        </w:tc>
        <w:tc>
          <w:tcPr>
            <w:tcW w:w="467" w:type="dxa"/>
            <w:tcBorders>
              <w:top w:val="nil"/>
              <w:left w:val="nil"/>
              <w:bottom w:val="nil"/>
              <w:right w:val="nil"/>
            </w:tcBorders>
            <w:shd w:val="clear" w:color="000000" w:fill="CAE7F3"/>
            <w:noWrap/>
            <w:vAlign w:val="center"/>
            <w:hideMark/>
          </w:tcPr>
          <w:p w14:paraId="1AEE762C"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p>
        </w:tc>
        <w:tc>
          <w:tcPr>
            <w:tcW w:w="1115" w:type="dxa"/>
            <w:tcBorders>
              <w:top w:val="nil"/>
              <w:left w:val="nil"/>
              <w:bottom w:val="nil"/>
              <w:right w:val="nil"/>
            </w:tcBorders>
            <w:shd w:val="clear" w:color="000000" w:fill="CAE7F3"/>
            <w:noWrap/>
            <w:vAlign w:val="center"/>
            <w:hideMark/>
          </w:tcPr>
          <w:p w14:paraId="493827D0"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5.3</w:t>
            </w:r>
          </w:p>
        </w:tc>
        <w:tc>
          <w:tcPr>
            <w:tcW w:w="1288" w:type="dxa"/>
            <w:tcBorders>
              <w:top w:val="nil"/>
              <w:left w:val="nil"/>
              <w:bottom w:val="nil"/>
              <w:right w:val="nil"/>
            </w:tcBorders>
            <w:shd w:val="clear" w:color="000000" w:fill="CAE7F3"/>
            <w:noWrap/>
            <w:vAlign w:val="center"/>
            <w:hideMark/>
          </w:tcPr>
          <w:p w14:paraId="0A5C2863" w14:textId="77777777" w:rsidR="00A22928" w:rsidRPr="006D2D7B" w:rsidRDefault="00A22928" w:rsidP="00865D28">
            <w:pPr>
              <w:spacing w:after="0" w:line="240" w:lineRule="auto"/>
              <w:ind w:left="0"/>
              <w:jc w:val="right"/>
              <w:rPr>
                <w:rFonts w:eastAsia="Times New Roman" w:cs="Arial"/>
                <w:color w:val="595A5B" w:themeColor="text2"/>
                <w:sz w:val="18"/>
                <w:szCs w:val="18"/>
                <w:lang w:eastAsia="en-AU"/>
              </w:rPr>
            </w:pPr>
            <w:r w:rsidRPr="006D2D7B">
              <w:rPr>
                <w:rFonts w:cs="Arial"/>
                <w:color w:val="595A5B" w:themeColor="text2"/>
                <w:sz w:val="18"/>
                <w:szCs w:val="18"/>
              </w:rPr>
              <w:t xml:space="preserve"> 3.2</w:t>
            </w:r>
          </w:p>
        </w:tc>
      </w:tr>
      <w:tr w:rsidR="00A22928" w:rsidRPr="001F1F3C" w14:paraId="58DCD093" w14:textId="77777777" w:rsidTr="00865D28">
        <w:trPr>
          <w:trHeight w:val="300"/>
        </w:trPr>
        <w:tc>
          <w:tcPr>
            <w:tcW w:w="1560" w:type="dxa"/>
            <w:tcBorders>
              <w:top w:val="nil"/>
              <w:left w:val="nil"/>
              <w:bottom w:val="nil"/>
              <w:right w:val="nil"/>
            </w:tcBorders>
            <w:shd w:val="clear" w:color="000000" w:fill="CAE7F3"/>
            <w:noWrap/>
            <w:vAlign w:val="bottom"/>
            <w:hideMark/>
          </w:tcPr>
          <w:p w14:paraId="105D5672" w14:textId="77777777" w:rsidR="00A22928" w:rsidRPr="006D2D7B" w:rsidRDefault="00A22928" w:rsidP="00865D28">
            <w:pPr>
              <w:spacing w:after="0" w:line="240" w:lineRule="auto"/>
              <w:ind w:left="0"/>
              <w:jc w:val="left"/>
              <w:rPr>
                <w:rFonts w:eastAsia="Times New Roman" w:cs="Arial"/>
                <w:b/>
                <w:bCs/>
                <w:color w:val="595A5B" w:themeColor="text2"/>
                <w:sz w:val="18"/>
                <w:szCs w:val="18"/>
                <w:lang w:eastAsia="en-AU"/>
              </w:rPr>
            </w:pPr>
            <w:r w:rsidRPr="006D2D7B">
              <w:rPr>
                <w:rFonts w:cs="Arial"/>
                <w:b/>
                <w:bCs/>
                <w:color w:val="595A5B" w:themeColor="text2"/>
                <w:sz w:val="18"/>
                <w:szCs w:val="18"/>
              </w:rPr>
              <w:t>Total</w:t>
            </w:r>
          </w:p>
        </w:tc>
        <w:tc>
          <w:tcPr>
            <w:tcW w:w="1417" w:type="dxa"/>
            <w:tcBorders>
              <w:top w:val="nil"/>
              <w:left w:val="nil"/>
              <w:bottom w:val="nil"/>
              <w:right w:val="nil"/>
            </w:tcBorders>
            <w:shd w:val="clear" w:color="000000" w:fill="CAE7F3"/>
            <w:noWrap/>
            <w:vAlign w:val="center"/>
            <w:hideMark/>
          </w:tcPr>
          <w:p w14:paraId="67CA1FEA" w14:textId="77777777" w:rsidR="00A22928" w:rsidRPr="006D2D7B" w:rsidRDefault="00A22928" w:rsidP="00865D28">
            <w:pPr>
              <w:spacing w:after="0" w:line="240" w:lineRule="auto"/>
              <w:ind w:left="0"/>
              <w:jc w:val="right"/>
              <w:rPr>
                <w:rFonts w:eastAsia="Times New Roman" w:cs="Arial"/>
                <w:b/>
                <w:bCs/>
                <w:color w:val="595A5B" w:themeColor="text2"/>
                <w:sz w:val="18"/>
                <w:szCs w:val="18"/>
                <w:lang w:eastAsia="en-AU"/>
              </w:rPr>
            </w:pPr>
            <w:r w:rsidRPr="006D2D7B">
              <w:rPr>
                <w:rFonts w:cs="Arial"/>
                <w:b/>
                <w:bCs/>
                <w:color w:val="595A5B" w:themeColor="text2"/>
                <w:sz w:val="18"/>
                <w:szCs w:val="18"/>
              </w:rPr>
              <w:t xml:space="preserve">         17,957.1 </w:t>
            </w:r>
          </w:p>
        </w:tc>
        <w:tc>
          <w:tcPr>
            <w:tcW w:w="1047" w:type="dxa"/>
            <w:tcBorders>
              <w:top w:val="nil"/>
              <w:left w:val="nil"/>
              <w:bottom w:val="nil"/>
              <w:right w:val="nil"/>
            </w:tcBorders>
            <w:shd w:val="clear" w:color="000000" w:fill="CAE7F3"/>
            <w:noWrap/>
            <w:vAlign w:val="center"/>
            <w:hideMark/>
          </w:tcPr>
          <w:p w14:paraId="50373F4E" w14:textId="77777777" w:rsidR="00A22928" w:rsidRPr="006D2D7B" w:rsidRDefault="00A22928" w:rsidP="00865D28">
            <w:pPr>
              <w:spacing w:after="0" w:line="240" w:lineRule="auto"/>
              <w:ind w:left="0"/>
              <w:jc w:val="right"/>
              <w:rPr>
                <w:rFonts w:eastAsia="Times New Roman" w:cs="Arial"/>
                <w:b/>
                <w:bCs/>
                <w:color w:val="595A5B" w:themeColor="text2"/>
                <w:sz w:val="18"/>
                <w:szCs w:val="18"/>
                <w:lang w:eastAsia="en-AU"/>
              </w:rPr>
            </w:pPr>
            <w:r w:rsidRPr="006D2D7B">
              <w:rPr>
                <w:rFonts w:cs="Arial"/>
                <w:b/>
                <w:bCs/>
                <w:color w:val="595A5B" w:themeColor="text2"/>
                <w:sz w:val="18"/>
                <w:szCs w:val="18"/>
              </w:rPr>
              <w:t xml:space="preserve"> 100.0</w:t>
            </w:r>
          </w:p>
        </w:tc>
        <w:tc>
          <w:tcPr>
            <w:tcW w:w="467" w:type="dxa"/>
            <w:tcBorders>
              <w:top w:val="nil"/>
              <w:left w:val="nil"/>
              <w:bottom w:val="nil"/>
              <w:right w:val="nil"/>
            </w:tcBorders>
            <w:shd w:val="clear" w:color="000000" w:fill="CAE7F3"/>
            <w:noWrap/>
            <w:vAlign w:val="center"/>
            <w:hideMark/>
          </w:tcPr>
          <w:p w14:paraId="7284715E" w14:textId="77777777" w:rsidR="00A22928" w:rsidRPr="006D2D7B" w:rsidRDefault="00A22928" w:rsidP="00865D28">
            <w:pPr>
              <w:spacing w:after="0" w:line="240" w:lineRule="auto"/>
              <w:ind w:left="0"/>
              <w:jc w:val="right"/>
              <w:rPr>
                <w:rFonts w:eastAsia="Times New Roman" w:cs="Arial"/>
                <w:b/>
                <w:bCs/>
                <w:color w:val="595A5B" w:themeColor="text2"/>
                <w:sz w:val="18"/>
                <w:szCs w:val="18"/>
                <w:lang w:eastAsia="en-AU"/>
              </w:rPr>
            </w:pPr>
            <w:r w:rsidRPr="006D2D7B">
              <w:rPr>
                <w:rFonts w:cs="Arial"/>
                <w:b/>
                <w:bCs/>
                <w:color w:val="595A5B" w:themeColor="text2"/>
                <w:sz w:val="18"/>
                <w:szCs w:val="18"/>
              </w:rPr>
              <w:t> </w:t>
            </w:r>
          </w:p>
        </w:tc>
        <w:tc>
          <w:tcPr>
            <w:tcW w:w="1115" w:type="dxa"/>
            <w:tcBorders>
              <w:top w:val="nil"/>
              <w:left w:val="nil"/>
              <w:bottom w:val="nil"/>
              <w:right w:val="nil"/>
            </w:tcBorders>
            <w:shd w:val="clear" w:color="000000" w:fill="CAE7F3"/>
            <w:noWrap/>
            <w:vAlign w:val="center"/>
            <w:hideMark/>
          </w:tcPr>
          <w:p w14:paraId="5DFE21C7" w14:textId="77777777" w:rsidR="00A22928" w:rsidRPr="006D2D7B" w:rsidRDefault="00A22928" w:rsidP="00865D28">
            <w:pPr>
              <w:spacing w:after="0" w:line="240" w:lineRule="auto"/>
              <w:ind w:left="0"/>
              <w:jc w:val="right"/>
              <w:rPr>
                <w:rFonts w:eastAsia="Times New Roman" w:cs="Arial"/>
                <w:b/>
                <w:bCs/>
                <w:color w:val="595A5B" w:themeColor="text2"/>
                <w:sz w:val="18"/>
                <w:szCs w:val="18"/>
                <w:lang w:eastAsia="en-AU"/>
              </w:rPr>
            </w:pPr>
            <w:r w:rsidRPr="006D2D7B">
              <w:rPr>
                <w:rFonts w:cs="Arial"/>
                <w:b/>
                <w:bCs/>
                <w:color w:val="595A5B" w:themeColor="text2"/>
                <w:sz w:val="18"/>
                <w:szCs w:val="18"/>
              </w:rPr>
              <w:t>3.7</w:t>
            </w:r>
          </w:p>
        </w:tc>
        <w:tc>
          <w:tcPr>
            <w:tcW w:w="1288" w:type="dxa"/>
            <w:tcBorders>
              <w:top w:val="nil"/>
              <w:left w:val="nil"/>
              <w:bottom w:val="nil"/>
              <w:right w:val="nil"/>
            </w:tcBorders>
            <w:shd w:val="clear" w:color="000000" w:fill="CAE7F3"/>
            <w:noWrap/>
            <w:vAlign w:val="center"/>
            <w:hideMark/>
          </w:tcPr>
          <w:p w14:paraId="7962A83B" w14:textId="77777777" w:rsidR="00A22928" w:rsidRPr="006D2D7B" w:rsidRDefault="00A22928" w:rsidP="00865D28">
            <w:pPr>
              <w:spacing w:after="0" w:line="240" w:lineRule="auto"/>
              <w:ind w:left="0"/>
              <w:jc w:val="right"/>
              <w:rPr>
                <w:rFonts w:eastAsia="Times New Roman" w:cs="Arial"/>
                <w:b/>
                <w:bCs/>
                <w:color w:val="595A5B" w:themeColor="text2"/>
                <w:sz w:val="18"/>
                <w:szCs w:val="18"/>
                <w:lang w:eastAsia="en-AU"/>
              </w:rPr>
            </w:pPr>
            <w:r w:rsidRPr="006D2D7B">
              <w:rPr>
                <w:rFonts w:cs="Arial"/>
                <w:b/>
                <w:bCs/>
                <w:color w:val="595A5B" w:themeColor="text2"/>
                <w:sz w:val="18"/>
                <w:szCs w:val="18"/>
              </w:rPr>
              <w:t xml:space="preserve"> 4.0</w:t>
            </w:r>
          </w:p>
        </w:tc>
      </w:tr>
    </w:tbl>
    <w:p w14:paraId="2A3A7C08" w14:textId="77777777" w:rsidR="00A22928" w:rsidRPr="001F1F3C" w:rsidRDefault="00A22928" w:rsidP="00A22928">
      <w:pPr>
        <w:pStyle w:val="Source"/>
        <w:rPr>
          <w:color w:val="595A5B" w:themeColor="text2"/>
        </w:rPr>
      </w:pPr>
      <w:r w:rsidRPr="001F1F3C">
        <w:rPr>
          <w:color w:val="595A5B" w:themeColor="text2"/>
        </w:rPr>
        <w:t xml:space="preserve">Source: </w:t>
      </w:r>
      <w:r w:rsidRPr="001F1F3C">
        <w:rPr>
          <w:color w:val="595A5B" w:themeColor="text2"/>
          <w:szCs w:val="16"/>
        </w:rPr>
        <w:t xml:space="preserve">Department of the Environment and Energy (2018) </w:t>
      </w:r>
      <w:r w:rsidRPr="001F1F3C">
        <w:rPr>
          <w:i/>
          <w:color w:val="595A5B" w:themeColor="text2"/>
          <w:szCs w:val="16"/>
        </w:rPr>
        <w:t>Australian Energy Statistics</w:t>
      </w:r>
      <w:r w:rsidRPr="001F1F3C">
        <w:rPr>
          <w:color w:val="595A5B" w:themeColor="text2"/>
          <w:szCs w:val="16"/>
        </w:rPr>
        <w:t xml:space="preserve">, </w:t>
      </w:r>
      <w:r w:rsidRPr="001F1F3C">
        <w:rPr>
          <w:color w:val="595A5B" w:themeColor="text2"/>
          <w:szCs w:val="16"/>
        </w:rPr>
        <w:br/>
        <w:t>Table J</w:t>
      </w:r>
    </w:p>
    <w:bookmarkEnd w:id="121"/>
    <w:p w14:paraId="27845A06" w14:textId="77777777" w:rsidR="00A22928" w:rsidRPr="001F1F3C" w:rsidRDefault="00A22928" w:rsidP="00CF5AC7">
      <w:pPr>
        <w:pStyle w:val="BodyText"/>
      </w:pPr>
    </w:p>
    <w:p w14:paraId="2BED4F21" w14:textId="6EAD5751" w:rsidR="00D80ADE" w:rsidRPr="001F1F3C" w:rsidRDefault="00C1400E" w:rsidP="00082FE6">
      <w:pPr>
        <w:pStyle w:val="Caption"/>
        <w:ind w:left="-1985"/>
      </w:pPr>
      <w:bookmarkStart w:id="122" w:name="_Toc522198890"/>
      <w:bookmarkStart w:id="123" w:name="_Toc522199910"/>
      <w:bookmarkStart w:id="124" w:name="_Toc523777424"/>
      <w:r>
        <w:lastRenderedPageBreak/>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3</w:t>
      </w:r>
      <w:r w:rsidR="00941B67">
        <w:rPr>
          <w:noProof/>
        </w:rPr>
        <w:fldChar w:fldCharType="end"/>
      </w:r>
      <w:r w:rsidR="003348D2">
        <w:t>.</w:t>
      </w:r>
      <w:r w:rsidR="00941B67">
        <w:rPr>
          <w:noProof/>
        </w:rPr>
        <w:fldChar w:fldCharType="begin"/>
      </w:r>
      <w:r w:rsidR="00941B67">
        <w:rPr>
          <w:noProof/>
        </w:rPr>
        <w:instrText xml:space="preserve"> SEQ Figure \* ARABIC \s 1 </w:instrText>
      </w:r>
      <w:r w:rsidR="00941B67">
        <w:rPr>
          <w:noProof/>
        </w:rPr>
        <w:fldChar w:fldCharType="separate"/>
      </w:r>
      <w:r w:rsidR="00D72ABB">
        <w:rPr>
          <w:noProof/>
        </w:rPr>
        <w:t>1</w:t>
      </w:r>
      <w:r w:rsidR="00941B67">
        <w:rPr>
          <w:noProof/>
        </w:rPr>
        <w:fldChar w:fldCharType="end"/>
      </w:r>
      <w:r>
        <w:t xml:space="preserve">: </w:t>
      </w:r>
      <w:r w:rsidR="00D80ADE" w:rsidRPr="001F1F3C">
        <w:t>Australian energy production, by fuel type</w:t>
      </w:r>
      <w:bookmarkEnd w:id="122"/>
      <w:bookmarkEnd w:id="123"/>
      <w:bookmarkEnd w:id="124"/>
    </w:p>
    <w:tbl>
      <w:tblPr>
        <w:tblStyle w:val="OCETable"/>
        <w:tblW w:w="6379" w:type="pct"/>
        <w:tblInd w:w="-1877" w:type="dxa"/>
        <w:tblLayout w:type="fixed"/>
        <w:tblLook w:val="04A0" w:firstRow="1" w:lastRow="0" w:firstColumn="1" w:lastColumn="0" w:noHBand="0" w:noVBand="1"/>
        <w:tblCaption w:val="Placeholder obejct only"/>
      </w:tblPr>
      <w:tblGrid>
        <w:gridCol w:w="8795"/>
      </w:tblGrid>
      <w:tr w:rsidR="00D80ADE" w:rsidRPr="001F1F3C" w14:paraId="358846E8" w14:textId="77777777" w:rsidTr="001A77A2">
        <w:trPr>
          <w:cnfStyle w:val="100000000000" w:firstRow="1" w:lastRow="0" w:firstColumn="0" w:lastColumn="0" w:oddVBand="0" w:evenVBand="0" w:oddHBand="0" w:evenHBand="0" w:firstRowFirstColumn="0" w:firstRowLastColumn="0" w:lastRowFirstColumn="0" w:lastRowLastColumn="0"/>
          <w:tblHeader/>
        </w:trPr>
        <w:tc>
          <w:tcPr>
            <w:tcW w:w="8795" w:type="dxa"/>
            <w:shd w:val="clear" w:color="auto" w:fill="auto"/>
          </w:tcPr>
          <w:p w14:paraId="4A0178E8" w14:textId="3301A24A" w:rsidR="00D80ADE" w:rsidRPr="001F1F3C" w:rsidRDefault="00782036" w:rsidP="00642121">
            <w:pPr>
              <w:pStyle w:val="PlaceholderWide"/>
              <w:ind w:left="-1985"/>
              <w:jc w:val="right"/>
            </w:pPr>
            <w:r>
              <w:rPr>
                <w:noProof/>
                <w:lang w:eastAsia="en-AU"/>
              </w:rPr>
              <w:drawing>
                <wp:inline distT="0" distB="0" distL="0" distR="0" wp14:anchorId="5C869631" wp14:editId="1857233B">
                  <wp:extent cx="5407660" cy="3243580"/>
                  <wp:effectExtent l="0" t="0" r="2540" b="0"/>
                  <wp:docPr id="1567782" name="Picture 1567782" descr="The figure shows Australian energy production by fuel type in petajoules from 1976-77 to 2016-17&#10;" title="Figure 3.1: Australian energy production, by fuel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7660" cy="3243580"/>
                          </a:xfrm>
                          <a:prstGeom prst="rect">
                            <a:avLst/>
                          </a:prstGeom>
                          <a:noFill/>
                        </pic:spPr>
                      </pic:pic>
                    </a:graphicData>
                  </a:graphic>
                </wp:inline>
              </w:drawing>
            </w:r>
          </w:p>
        </w:tc>
      </w:tr>
    </w:tbl>
    <w:p w14:paraId="4814F7F7" w14:textId="31F29E90" w:rsidR="00D80ADE" w:rsidRPr="001F1F3C" w:rsidRDefault="00D80ADE" w:rsidP="007304B9">
      <w:pPr>
        <w:pStyle w:val="SourceWide"/>
        <w:rPr>
          <w:color w:val="595A5B" w:themeColor="text2"/>
        </w:rPr>
      </w:pPr>
      <w:r w:rsidRPr="001F1F3C">
        <w:rPr>
          <w:color w:val="595A5B" w:themeColor="text2"/>
        </w:rPr>
        <w:t>Source:</w:t>
      </w:r>
      <w:r w:rsidRPr="001F1F3C">
        <w:rPr>
          <w:color w:val="595A5B" w:themeColor="text2"/>
          <w:szCs w:val="16"/>
        </w:rPr>
        <w:t xml:space="preserve"> Department of </w:t>
      </w:r>
      <w:r w:rsidR="005A4AAD" w:rsidRPr="001F1F3C">
        <w:rPr>
          <w:color w:val="595A5B" w:themeColor="text2"/>
          <w:szCs w:val="16"/>
        </w:rPr>
        <w:t>the Environment and Energy (</w:t>
      </w:r>
      <w:r w:rsidR="003F2CCE" w:rsidRPr="001F1F3C">
        <w:rPr>
          <w:color w:val="595A5B" w:themeColor="text2"/>
          <w:szCs w:val="16"/>
        </w:rPr>
        <w:t>2018</w:t>
      </w:r>
      <w:r w:rsidRPr="001F1F3C">
        <w:rPr>
          <w:color w:val="595A5B" w:themeColor="text2"/>
          <w:szCs w:val="16"/>
        </w:rPr>
        <w:t xml:space="preserve">) </w:t>
      </w:r>
      <w:r w:rsidRPr="001F1F3C">
        <w:rPr>
          <w:i/>
          <w:color w:val="595A5B" w:themeColor="text2"/>
          <w:szCs w:val="16"/>
        </w:rPr>
        <w:t>Australian Energy Statistics</w:t>
      </w:r>
      <w:r w:rsidRPr="001F1F3C">
        <w:rPr>
          <w:color w:val="595A5B" w:themeColor="text2"/>
          <w:szCs w:val="16"/>
        </w:rPr>
        <w:t>, Table J</w:t>
      </w:r>
    </w:p>
    <w:p w14:paraId="677995B8" w14:textId="20B51693" w:rsidR="00D80ADE" w:rsidRPr="001F1F3C" w:rsidRDefault="00D80ADE" w:rsidP="00D80ADE">
      <w:pPr>
        <w:pStyle w:val="BodyText"/>
        <w:tabs>
          <w:tab w:val="left" w:pos="1440"/>
        </w:tabs>
      </w:pPr>
      <w:r w:rsidRPr="001F1F3C">
        <w:tab/>
      </w:r>
    </w:p>
    <w:p w14:paraId="3E71AFA0" w14:textId="14C71608" w:rsidR="001F4600" w:rsidRPr="001F1F3C" w:rsidRDefault="00C1400E" w:rsidP="001F4600">
      <w:pPr>
        <w:pStyle w:val="CaptionWide"/>
      </w:pPr>
      <w:bookmarkStart w:id="125" w:name="_Toc522198891"/>
      <w:bookmarkStart w:id="126" w:name="_Toc522199911"/>
      <w:bookmarkStart w:id="127" w:name="_Toc523777425"/>
      <w:r>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3</w:t>
      </w:r>
      <w:r w:rsidR="00941B67">
        <w:rPr>
          <w:noProof/>
        </w:rPr>
        <w:fldChar w:fldCharType="end"/>
      </w:r>
      <w:r w:rsidR="003348D2">
        <w:t>.</w:t>
      </w:r>
      <w:r w:rsidR="00941B67">
        <w:rPr>
          <w:noProof/>
        </w:rPr>
        <w:fldChar w:fldCharType="begin"/>
      </w:r>
      <w:r w:rsidR="00941B67">
        <w:rPr>
          <w:noProof/>
        </w:rPr>
        <w:instrText xml:space="preserve"> SEQ Figure \* ARABIC \s 1 </w:instrText>
      </w:r>
      <w:r w:rsidR="00941B67">
        <w:rPr>
          <w:noProof/>
        </w:rPr>
        <w:fldChar w:fldCharType="separate"/>
      </w:r>
      <w:r w:rsidR="00D72ABB">
        <w:rPr>
          <w:noProof/>
        </w:rPr>
        <w:t>2</w:t>
      </w:r>
      <w:r w:rsidR="00941B67">
        <w:rPr>
          <w:noProof/>
        </w:rPr>
        <w:fldChar w:fldCharType="end"/>
      </w:r>
      <w:r>
        <w:t>: A</w:t>
      </w:r>
      <w:r w:rsidR="00581980" w:rsidRPr="001F1F3C">
        <w:t>ustralian energy balance</w:t>
      </w:r>
      <w:bookmarkEnd w:id="125"/>
      <w:bookmarkEnd w:id="126"/>
      <w:bookmarkEnd w:id="127"/>
    </w:p>
    <w:tbl>
      <w:tblPr>
        <w:tblStyle w:val="OCETable"/>
        <w:tblW w:w="6379" w:type="pct"/>
        <w:tblInd w:w="-1877" w:type="dxa"/>
        <w:tblLayout w:type="fixed"/>
        <w:tblLook w:val="04A0" w:firstRow="1" w:lastRow="0" w:firstColumn="1" w:lastColumn="0" w:noHBand="0" w:noVBand="1"/>
        <w:tblCaption w:val="Placeholder obejct only"/>
      </w:tblPr>
      <w:tblGrid>
        <w:gridCol w:w="8795"/>
      </w:tblGrid>
      <w:tr w:rsidR="00790447" w:rsidRPr="001F1F3C" w14:paraId="403C8A8F" w14:textId="77777777" w:rsidTr="00782036">
        <w:trPr>
          <w:cnfStyle w:val="100000000000" w:firstRow="1" w:lastRow="0" w:firstColumn="0" w:lastColumn="0" w:oddVBand="0" w:evenVBand="0" w:oddHBand="0" w:evenHBand="0" w:firstRowFirstColumn="0" w:firstRowLastColumn="0" w:lastRowFirstColumn="0" w:lastRowLastColumn="0"/>
          <w:tblHeader/>
        </w:trPr>
        <w:tc>
          <w:tcPr>
            <w:tcW w:w="8795" w:type="dxa"/>
            <w:shd w:val="clear" w:color="auto" w:fill="auto"/>
          </w:tcPr>
          <w:p w14:paraId="118541DE" w14:textId="5E1D3C52" w:rsidR="00790447" w:rsidRPr="001F1F3C" w:rsidRDefault="00782036" w:rsidP="00676F30">
            <w:pPr>
              <w:pStyle w:val="PlaceholderWide"/>
              <w:ind w:left="-1985"/>
              <w:jc w:val="right"/>
            </w:pPr>
            <w:r>
              <w:rPr>
                <w:noProof/>
                <w:lang w:eastAsia="en-AU"/>
              </w:rPr>
              <w:drawing>
                <wp:inline distT="0" distB="0" distL="0" distR="0" wp14:anchorId="08C54C2D" wp14:editId="32501018">
                  <wp:extent cx="5407660" cy="3249295"/>
                  <wp:effectExtent l="0" t="0" r="2540" b="8255"/>
                  <wp:docPr id="1567781" name="Picture 1567781" descr="The figure shows the Australian energy balance of production, consumption and net exports in petajoules from 1976-77 to 2016-17&#10;" title="Figure 3.2: Australian energy bal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7660" cy="3249295"/>
                          </a:xfrm>
                          <a:prstGeom prst="rect">
                            <a:avLst/>
                          </a:prstGeom>
                          <a:noFill/>
                        </pic:spPr>
                      </pic:pic>
                    </a:graphicData>
                  </a:graphic>
                </wp:inline>
              </w:drawing>
            </w:r>
          </w:p>
        </w:tc>
      </w:tr>
      <w:tr w:rsidR="001F4600" w:rsidRPr="001F1F3C" w14:paraId="75C15EBE" w14:textId="77777777" w:rsidTr="00D07A93">
        <w:trPr>
          <w:cnfStyle w:val="100000000000" w:firstRow="1" w:lastRow="0" w:firstColumn="0" w:lastColumn="0" w:oddVBand="0" w:evenVBand="0" w:oddHBand="0" w:evenHBand="0" w:firstRowFirstColumn="0" w:firstRowLastColumn="0" w:lastRowFirstColumn="0" w:lastRowLastColumn="0"/>
          <w:tblHeader/>
        </w:trPr>
        <w:tc>
          <w:tcPr>
            <w:tcW w:w="8795" w:type="dxa"/>
            <w:shd w:val="clear" w:color="auto" w:fill="auto"/>
          </w:tcPr>
          <w:p w14:paraId="2A6B69AA" w14:textId="463FA220" w:rsidR="001F4600" w:rsidRPr="001F1F3C" w:rsidRDefault="001F4600" w:rsidP="00986FF6">
            <w:pPr>
              <w:pStyle w:val="PlaceholderWide"/>
              <w:ind w:left="-1985"/>
              <w:jc w:val="right"/>
            </w:pPr>
          </w:p>
        </w:tc>
      </w:tr>
    </w:tbl>
    <w:p w14:paraId="165CA3E0" w14:textId="7014D603" w:rsidR="001F4600" w:rsidRPr="001F1F3C" w:rsidRDefault="001F4600" w:rsidP="00D07A93">
      <w:pPr>
        <w:pStyle w:val="SourceWide"/>
        <w:spacing w:after="240"/>
        <w:rPr>
          <w:color w:val="595A5B" w:themeColor="text2"/>
        </w:rPr>
      </w:pPr>
      <w:r w:rsidRPr="001F1F3C">
        <w:rPr>
          <w:color w:val="595A5B" w:themeColor="text2"/>
        </w:rPr>
        <w:t xml:space="preserve">Source: </w:t>
      </w:r>
      <w:r w:rsidR="00581980" w:rsidRPr="001F1F3C">
        <w:rPr>
          <w:color w:val="595A5B" w:themeColor="text2"/>
          <w:szCs w:val="16"/>
        </w:rPr>
        <w:t xml:space="preserve">Department of </w:t>
      </w:r>
      <w:r w:rsidR="005A4AAD" w:rsidRPr="001F1F3C">
        <w:rPr>
          <w:color w:val="595A5B" w:themeColor="text2"/>
          <w:szCs w:val="16"/>
        </w:rPr>
        <w:t>the Environm</w:t>
      </w:r>
      <w:r w:rsidR="00581980" w:rsidRPr="001F1F3C">
        <w:rPr>
          <w:color w:val="595A5B" w:themeColor="text2"/>
          <w:szCs w:val="16"/>
        </w:rPr>
        <w:t>e</w:t>
      </w:r>
      <w:r w:rsidR="005A4AAD" w:rsidRPr="001F1F3C">
        <w:rPr>
          <w:color w:val="595A5B" w:themeColor="text2"/>
          <w:szCs w:val="16"/>
        </w:rPr>
        <w:t>nt and Energy</w:t>
      </w:r>
      <w:r w:rsidR="00581980" w:rsidRPr="001F1F3C">
        <w:rPr>
          <w:color w:val="595A5B" w:themeColor="text2"/>
          <w:szCs w:val="16"/>
        </w:rPr>
        <w:t xml:space="preserve"> (</w:t>
      </w:r>
      <w:r w:rsidR="003F2CCE" w:rsidRPr="001F1F3C">
        <w:rPr>
          <w:color w:val="595A5B" w:themeColor="text2"/>
          <w:szCs w:val="16"/>
        </w:rPr>
        <w:t>2018</w:t>
      </w:r>
      <w:r w:rsidR="00581980" w:rsidRPr="001F1F3C">
        <w:rPr>
          <w:color w:val="595A5B" w:themeColor="text2"/>
          <w:szCs w:val="16"/>
        </w:rPr>
        <w:t xml:space="preserve">) </w:t>
      </w:r>
      <w:r w:rsidR="00581980" w:rsidRPr="001F1F3C">
        <w:rPr>
          <w:i/>
          <w:color w:val="595A5B" w:themeColor="text2"/>
          <w:szCs w:val="16"/>
        </w:rPr>
        <w:t>Australian Energy Statistics</w:t>
      </w:r>
      <w:r w:rsidR="00581980" w:rsidRPr="001F1F3C">
        <w:rPr>
          <w:color w:val="595A5B" w:themeColor="text2"/>
          <w:szCs w:val="16"/>
        </w:rPr>
        <w:t>, Table J</w:t>
      </w:r>
    </w:p>
    <w:p w14:paraId="7B077DCC" w14:textId="77777777" w:rsidR="001A77A2" w:rsidRDefault="001A77A2" w:rsidP="001F4600">
      <w:pPr>
        <w:pStyle w:val="BodyText"/>
      </w:pPr>
    </w:p>
    <w:p w14:paraId="6EC558EA" w14:textId="330FCADB" w:rsidR="00CF5AC7" w:rsidRPr="001F1F3C" w:rsidRDefault="00CF5AC7" w:rsidP="00CF5AC7">
      <w:pPr>
        <w:pStyle w:val="BodyText"/>
      </w:pPr>
      <w:r w:rsidRPr="001F1F3C">
        <w:lastRenderedPageBreak/>
        <w:t xml:space="preserve">Natural gas production rose by </w:t>
      </w:r>
      <w:r w:rsidR="0033249C">
        <w:t>23</w:t>
      </w:r>
      <w:r w:rsidRPr="001F1F3C">
        <w:t xml:space="preserve"> per cent in 2016–17 to 4,</w:t>
      </w:r>
      <w:r w:rsidR="0033249C">
        <w:t>155</w:t>
      </w:r>
      <w:r w:rsidRPr="001F1F3C">
        <w:t xml:space="preserve"> petajoules (106 billion cubic metres) to support additional LNG export capacity in Queensland and Western Australia. Western Australia remained Australia’s largest producer of natural gas, producing roughly half of total gas production</w:t>
      </w:r>
      <w:r w:rsidR="006D2D7B">
        <w:t xml:space="preserve"> in 2016–17</w:t>
      </w:r>
      <w:r w:rsidRPr="001F1F3C">
        <w:t xml:space="preserve">. </w:t>
      </w:r>
      <w:r w:rsidR="004367F3" w:rsidRPr="001F1F3C">
        <w:t>Queensland accounted for 34 per cent of total production</w:t>
      </w:r>
      <w:r w:rsidR="004367F3" w:rsidRPr="004367F3">
        <w:t xml:space="preserve"> </w:t>
      </w:r>
      <w:r w:rsidR="004367F3">
        <w:t>i</w:t>
      </w:r>
      <w:r w:rsidR="004367F3" w:rsidRPr="001F1F3C">
        <w:t xml:space="preserve">n </w:t>
      </w:r>
      <w:r w:rsidR="004367F3">
        <w:t>that year</w:t>
      </w:r>
      <w:r w:rsidR="004367F3" w:rsidRPr="001F1F3C">
        <w:t>.</w:t>
      </w:r>
      <w:r w:rsidR="004367F3">
        <w:t xml:space="preserve"> </w:t>
      </w:r>
      <w:r w:rsidRPr="001F1F3C">
        <w:t xml:space="preserve">Queensland gas production of 1,328 petajoules (35 billion cubic metres) </w:t>
      </w:r>
      <w:r w:rsidR="004367F3">
        <w:t>in 2016–17 wa</w:t>
      </w:r>
      <w:r w:rsidRPr="001F1F3C">
        <w:t xml:space="preserve">s nearly four times </w:t>
      </w:r>
      <w:r w:rsidR="004367F3">
        <w:t>what it was</w:t>
      </w:r>
      <w:r w:rsidRPr="001F1F3C">
        <w:t xml:space="preserve"> in 2013</w:t>
      </w:r>
      <w:r w:rsidR="00B96DF8">
        <w:t>–</w:t>
      </w:r>
      <w:r w:rsidRPr="001F1F3C">
        <w:t xml:space="preserve">14. </w:t>
      </w:r>
    </w:p>
    <w:p w14:paraId="23F108FD" w14:textId="29D10BFA" w:rsidR="00CF5AC7" w:rsidRPr="001F1F3C" w:rsidRDefault="00CF5AC7" w:rsidP="00CF5AC7">
      <w:pPr>
        <w:pStyle w:val="BodyText"/>
      </w:pPr>
      <w:r w:rsidRPr="001F1F3C">
        <w:t>Production of coal seam gas increased signific</w:t>
      </w:r>
      <w:r w:rsidR="00747A05">
        <w:t>antly in 2016–17 to reach 1,290 </w:t>
      </w:r>
      <w:r w:rsidRPr="001F1F3C">
        <w:t>petajoules (34 billion cubic metres</w:t>
      </w:r>
      <w:r w:rsidR="003A0C78" w:rsidRPr="001F1F3C">
        <w:t xml:space="preserve">). </w:t>
      </w:r>
      <w:r w:rsidR="00747A05">
        <w:t xml:space="preserve">Coal seam gas accounted for </w:t>
      </w:r>
      <w:r w:rsidR="004367F3">
        <w:t>one-third</w:t>
      </w:r>
      <w:r w:rsidRPr="001F1F3C">
        <w:t xml:space="preserve"> of Australian gas production on </w:t>
      </w:r>
      <w:r w:rsidR="00747A05">
        <w:t xml:space="preserve">an energy content basis, and </w:t>
      </w:r>
      <w:r w:rsidR="004367F3">
        <w:t>nearly two-thirds</w:t>
      </w:r>
      <w:r w:rsidRPr="001F1F3C">
        <w:t xml:space="preserve"> of east coast gas production in 2016–17. </w:t>
      </w:r>
    </w:p>
    <w:p w14:paraId="70F28EAD" w14:textId="5AE5299F" w:rsidR="00CF5AC7" w:rsidRPr="001F1F3C" w:rsidRDefault="00CF5AC7" w:rsidP="00CF5AC7">
      <w:pPr>
        <w:pStyle w:val="BodyText"/>
      </w:pPr>
      <w:r w:rsidRPr="001F1F3C">
        <w:t>Australia produced 597 petajoules (16 billion litres) of crude oil and natural gas liquids in 2016–17, a decline of 12 per cent relative to the previous year. A fall in output occurred across all producing states and territories, attributable to continued declines in production at mature fields.</w:t>
      </w:r>
    </w:p>
    <w:p w14:paraId="2458689A" w14:textId="52D0209A" w:rsidR="00CF5AC7" w:rsidRPr="001F1F3C" w:rsidRDefault="00CF5AC7" w:rsidP="00CF5AC7">
      <w:pPr>
        <w:pStyle w:val="BodyText"/>
      </w:pPr>
      <w:r w:rsidRPr="001F1F3C">
        <w:t>Renewable energy production increased by 5 p</w:t>
      </w:r>
      <w:r w:rsidR="00747A05">
        <w:t>er cent in 2016–17 to reach 37</w:t>
      </w:r>
      <w:r w:rsidR="0033249C">
        <w:t>9</w:t>
      </w:r>
      <w:r w:rsidR="00747A05">
        <w:t> </w:t>
      </w:r>
      <w:r w:rsidRPr="001F1F3C">
        <w:t xml:space="preserve">petajoules. Major sources </w:t>
      </w:r>
      <w:r w:rsidR="00B96DF8">
        <w:t>that</w:t>
      </w:r>
      <w:r w:rsidRPr="001F1F3C">
        <w:t xml:space="preserve"> increased</w:t>
      </w:r>
      <w:r w:rsidR="004367F3">
        <w:t xml:space="preserve"> production</w:t>
      </w:r>
      <w:r w:rsidRPr="001F1F3C">
        <w:t xml:space="preserve"> include</w:t>
      </w:r>
      <w:r w:rsidR="00B96DF8">
        <w:t>d</w:t>
      </w:r>
      <w:r w:rsidRPr="001F1F3C">
        <w:t xml:space="preserve"> bagasse, wind, hydro and solar electricity generation. Renewable energy accounted for just over 2 per cent of total energy production in 2016–17, similar to its share in recent years. </w:t>
      </w:r>
    </w:p>
    <w:p w14:paraId="6EB1A932" w14:textId="05D2C1C2" w:rsidR="00CF5AC7" w:rsidRPr="001F1F3C" w:rsidRDefault="00CF5AC7" w:rsidP="00CF5AC7">
      <w:pPr>
        <w:pStyle w:val="BodyText"/>
      </w:pPr>
      <w:r w:rsidRPr="001F1F3C">
        <w:t xml:space="preserve">Australia also produces uranium oxide, which is exported for use in nuclear power plants overseas. Uranium production decreased 18 per cent in 2016–17 to 7,081 tonnes, which is equivalent to 3,328 petajoules. </w:t>
      </w:r>
      <w:r w:rsidR="00B96DF8">
        <w:t xml:space="preserve">This reflects </w:t>
      </w:r>
      <w:r w:rsidR="00F257F0">
        <w:t xml:space="preserve">the </w:t>
      </w:r>
      <w:r w:rsidR="00DE6AFF">
        <w:t xml:space="preserve">closure </w:t>
      </w:r>
      <w:r w:rsidR="0033249C">
        <w:t xml:space="preserve">of Olympic Dam </w:t>
      </w:r>
      <w:r w:rsidR="00DE6AFF">
        <w:t>during 2017 for upgrades</w:t>
      </w:r>
      <w:r w:rsidR="00B96DF8">
        <w:t xml:space="preserve">. </w:t>
      </w:r>
      <w:r w:rsidR="004367F3">
        <w:t>U</w:t>
      </w:r>
      <w:r w:rsidR="004367F3" w:rsidRPr="001F1F3C">
        <w:t xml:space="preserve">ranium oxide is not included </w:t>
      </w:r>
      <w:r w:rsidR="004367F3">
        <w:t>in the total</w:t>
      </w:r>
      <w:r w:rsidRPr="001F1F3C">
        <w:t xml:space="preserve"> primary energy production. Instead, the heat content of the steam leaving the nuclear reactor for the turbine is counted, which is not applicable for Australia.</w:t>
      </w:r>
    </w:p>
    <w:p w14:paraId="30FA3DEB" w14:textId="77777777" w:rsidR="001F4600" w:rsidRPr="001F1F3C" w:rsidRDefault="001F4600" w:rsidP="001F4600">
      <w:pPr>
        <w:pStyle w:val="Heading2"/>
      </w:pPr>
      <w:bookmarkStart w:id="128" w:name="_Toc392157287"/>
      <w:bookmarkStart w:id="129" w:name="_Toc427614400"/>
      <w:bookmarkStart w:id="130" w:name="_Toc428130034"/>
      <w:bookmarkStart w:id="131" w:name="_Toc522197031"/>
      <w:bookmarkStart w:id="132" w:name="_Toc522633192"/>
      <w:r w:rsidRPr="001F1F3C">
        <w:t>Electricity generation</w:t>
      </w:r>
      <w:bookmarkEnd w:id="128"/>
      <w:bookmarkEnd w:id="129"/>
      <w:bookmarkEnd w:id="130"/>
      <w:bookmarkEnd w:id="131"/>
      <w:bookmarkEnd w:id="132"/>
    </w:p>
    <w:p w14:paraId="0B263844" w14:textId="1B87DC77" w:rsidR="00D11D11" w:rsidRDefault="00D11D11" w:rsidP="00D11D11">
      <w:pPr>
        <w:pStyle w:val="BodyText"/>
      </w:pPr>
      <w:r w:rsidRPr="001F1F3C">
        <w:t xml:space="preserve">In </w:t>
      </w:r>
      <w:r w:rsidR="003F2CCE" w:rsidRPr="001F1F3C">
        <w:t>2016–17</w:t>
      </w:r>
      <w:r w:rsidRPr="001F1F3C">
        <w:t xml:space="preserve"> total electricity generation in Australia </w:t>
      </w:r>
      <w:r w:rsidR="00982823" w:rsidRPr="001F1F3C">
        <w:t xml:space="preserve">was relatively stable, increasing by just </w:t>
      </w:r>
      <w:r w:rsidRPr="001F1F3C">
        <w:t xml:space="preserve">by </w:t>
      </w:r>
      <w:r w:rsidR="00982823" w:rsidRPr="001F1F3C">
        <w:t>0.</w:t>
      </w:r>
      <w:r w:rsidRPr="001F1F3C">
        <w:t xml:space="preserve">2 per cent, </w:t>
      </w:r>
      <w:r w:rsidR="00982823" w:rsidRPr="001F1F3C">
        <w:t xml:space="preserve">after growing by 2 and 1 per cent in the </w:t>
      </w:r>
      <w:r w:rsidR="003A0C78" w:rsidRPr="001F1F3C">
        <w:t>preceding</w:t>
      </w:r>
      <w:r w:rsidR="00982823" w:rsidRPr="001F1F3C">
        <w:t xml:space="preserve"> two years respectively</w:t>
      </w:r>
      <w:r w:rsidRPr="001F1F3C">
        <w:t>. This followed three consec</w:t>
      </w:r>
      <w:r w:rsidR="00143420">
        <w:t>utive years of decline (Figure 3</w:t>
      </w:r>
      <w:r w:rsidRPr="001F1F3C">
        <w:t>.3). Total electricity generation was 25</w:t>
      </w:r>
      <w:r w:rsidR="00982823" w:rsidRPr="001F1F3C">
        <w:t>8</w:t>
      </w:r>
      <w:r w:rsidRPr="001F1F3C">
        <w:t xml:space="preserve"> terawatt hours (92</w:t>
      </w:r>
      <w:r w:rsidR="00982823" w:rsidRPr="001F1F3C">
        <w:t>9</w:t>
      </w:r>
      <w:r w:rsidR="00747A05">
        <w:t> </w:t>
      </w:r>
      <w:r w:rsidRPr="001F1F3C">
        <w:t xml:space="preserve">petajoules) in </w:t>
      </w:r>
      <w:r w:rsidR="003F2CCE" w:rsidRPr="001F1F3C">
        <w:t>2016–17</w:t>
      </w:r>
      <w:r w:rsidRPr="001F1F3C">
        <w:t xml:space="preserve">, the highest total generation on record for Australia. </w:t>
      </w:r>
    </w:p>
    <w:p w14:paraId="632B38D3" w14:textId="6FD1E72F" w:rsidR="00F80402" w:rsidRPr="00D73C79" w:rsidRDefault="00F80402" w:rsidP="00F80402">
      <w:pPr>
        <w:pStyle w:val="BodyText"/>
      </w:pPr>
      <w:r>
        <w:t xml:space="preserve">This </w:t>
      </w:r>
      <w:r w:rsidRPr="001F1F3C">
        <w:t>figure captures all electricity generation in Australia. In addition to power plants, it includes rooftop solar PV generation, generation by industrial facilities such as in mining and manufacturing, and off-grid generation.</w:t>
      </w:r>
      <w:r>
        <w:t xml:space="preserve"> About 12 per cent </w:t>
      </w:r>
      <w:r w:rsidR="00361011">
        <w:t xml:space="preserve">of Australia’s electricity </w:t>
      </w:r>
      <w:r>
        <w:t xml:space="preserve">was generated by industry and households. This </w:t>
      </w:r>
      <w:r w:rsidR="00FA0174">
        <w:t>share</w:t>
      </w:r>
      <w:r>
        <w:t xml:space="preserve"> varies considerably across state and territories, including contributing over one-third </w:t>
      </w:r>
      <w:r w:rsidR="004A2FBD">
        <w:t xml:space="preserve">of total generation </w:t>
      </w:r>
      <w:r>
        <w:t>in Western Australia (Figure 3.4).</w:t>
      </w:r>
      <w:r w:rsidR="00FA0174">
        <w:t xml:space="preserve"> This figure is estimated using the industry classification reported by the facility, and does not differentiate if it is on or off grid.</w:t>
      </w:r>
    </w:p>
    <w:p w14:paraId="21ABDFF5" w14:textId="0535CC2C" w:rsidR="00F80402" w:rsidRPr="000378B5" w:rsidRDefault="00F80402" w:rsidP="00F80402">
      <w:pPr>
        <w:pStyle w:val="BodyText"/>
      </w:pPr>
      <w:r w:rsidRPr="001F1F3C">
        <w:t>Electricity generation decreased in 2016–17 in South Australia (by 1</w:t>
      </w:r>
      <w:r w:rsidR="00F257F0">
        <w:t>0</w:t>
      </w:r>
      <w:r w:rsidRPr="001F1F3C">
        <w:t xml:space="preserve"> per cent), Victoria (by 3 percent) and the Northern Territory (by 2 per cent)</w:t>
      </w:r>
      <w:r w:rsidR="004A2FBD">
        <w:t>,</w:t>
      </w:r>
      <w:r w:rsidRPr="001F1F3C">
        <w:t xml:space="preserve"> but increased in all other states and territories.  This decline reflects the closure of Hazelwood </w:t>
      </w:r>
      <w:r w:rsidRPr="001F1F3C">
        <w:lastRenderedPageBreak/>
        <w:t xml:space="preserve">brown coal fired power station in Victoria in March 2017, and exit of coal fired power in South Australia after the closure of Northern Power Station in 2016. </w:t>
      </w:r>
    </w:p>
    <w:p w14:paraId="1E869EC4" w14:textId="5395E6D1" w:rsidR="00153764" w:rsidRPr="001F1F3C" w:rsidRDefault="00C1400E" w:rsidP="00082FE6">
      <w:pPr>
        <w:pStyle w:val="Caption"/>
        <w:ind w:left="-1985"/>
      </w:pPr>
      <w:bookmarkStart w:id="133" w:name="_Toc522198892"/>
      <w:bookmarkStart w:id="134" w:name="_Toc522199912"/>
      <w:bookmarkStart w:id="135" w:name="_Toc523777426"/>
      <w:r>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3</w:t>
      </w:r>
      <w:r w:rsidR="00941B67">
        <w:rPr>
          <w:noProof/>
        </w:rPr>
        <w:fldChar w:fldCharType="end"/>
      </w:r>
      <w:r w:rsidR="003348D2">
        <w:t>.</w:t>
      </w:r>
      <w:r w:rsidR="00941B67">
        <w:rPr>
          <w:noProof/>
        </w:rPr>
        <w:fldChar w:fldCharType="begin"/>
      </w:r>
      <w:r w:rsidR="00941B67">
        <w:rPr>
          <w:noProof/>
        </w:rPr>
        <w:instrText xml:space="preserve"> SEQ Figure \* ARABIC \s 1 </w:instrText>
      </w:r>
      <w:r w:rsidR="00941B67">
        <w:rPr>
          <w:noProof/>
        </w:rPr>
        <w:fldChar w:fldCharType="separate"/>
      </w:r>
      <w:r w:rsidR="00D72ABB">
        <w:rPr>
          <w:noProof/>
        </w:rPr>
        <w:t>3</w:t>
      </w:r>
      <w:r w:rsidR="00941B67">
        <w:rPr>
          <w:noProof/>
        </w:rPr>
        <w:fldChar w:fldCharType="end"/>
      </w:r>
      <w:r>
        <w:t xml:space="preserve">: </w:t>
      </w:r>
      <w:r w:rsidR="00153764" w:rsidRPr="001F1F3C">
        <w:t>Australian electricity generation</w:t>
      </w:r>
      <w:bookmarkEnd w:id="133"/>
      <w:bookmarkEnd w:id="134"/>
      <w:bookmarkEnd w:id="135"/>
    </w:p>
    <w:tbl>
      <w:tblPr>
        <w:tblStyle w:val="OCETable"/>
        <w:tblW w:w="6379" w:type="pct"/>
        <w:tblInd w:w="-1877" w:type="dxa"/>
        <w:tblLayout w:type="fixed"/>
        <w:tblLook w:val="04A0" w:firstRow="1" w:lastRow="0" w:firstColumn="1" w:lastColumn="0" w:noHBand="0" w:noVBand="1"/>
        <w:tblCaption w:val="Placeholder obejct only"/>
      </w:tblPr>
      <w:tblGrid>
        <w:gridCol w:w="8795"/>
      </w:tblGrid>
      <w:tr w:rsidR="00153764" w:rsidRPr="001F1F3C" w14:paraId="76D7C155" w14:textId="77777777" w:rsidTr="000C2D86">
        <w:trPr>
          <w:cnfStyle w:val="100000000000" w:firstRow="1" w:lastRow="0" w:firstColumn="0" w:lastColumn="0" w:oddVBand="0" w:evenVBand="0" w:oddHBand="0" w:evenHBand="0" w:firstRowFirstColumn="0" w:firstRowLastColumn="0" w:lastRowFirstColumn="0" w:lastRowLastColumn="0"/>
          <w:tblHeader/>
        </w:trPr>
        <w:tc>
          <w:tcPr>
            <w:tcW w:w="8795" w:type="dxa"/>
            <w:shd w:val="clear" w:color="auto" w:fill="auto"/>
          </w:tcPr>
          <w:p w14:paraId="2D8588A4" w14:textId="56E58A6C" w:rsidR="00153764" w:rsidRPr="001F1F3C" w:rsidRDefault="00DE6AFF" w:rsidP="000C2D86">
            <w:pPr>
              <w:pStyle w:val="PlaceholderWide"/>
            </w:pPr>
            <w:r>
              <w:rPr>
                <w:noProof/>
                <w:lang w:eastAsia="en-AU"/>
              </w:rPr>
              <w:drawing>
                <wp:inline distT="0" distB="0" distL="0" distR="0" wp14:anchorId="16294853" wp14:editId="3A7C4AEF">
                  <wp:extent cx="5407660" cy="3243580"/>
                  <wp:effectExtent l="0" t="0" r="2540" b="0"/>
                  <wp:docPr id="25" name="Picture 25" descr="The figure shows total Australian electricity generation and renewable electricity generation in terawatt hours between 1976-77 to 2016-17 and calendar year 2017" title="Figure 3.3: Australian electricity gene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7660" cy="3243580"/>
                          </a:xfrm>
                          <a:prstGeom prst="rect">
                            <a:avLst/>
                          </a:prstGeom>
                          <a:noFill/>
                        </pic:spPr>
                      </pic:pic>
                    </a:graphicData>
                  </a:graphic>
                </wp:inline>
              </w:drawing>
            </w:r>
          </w:p>
        </w:tc>
      </w:tr>
    </w:tbl>
    <w:p w14:paraId="4E20DE34" w14:textId="77777777" w:rsidR="00153764" w:rsidRDefault="00153764" w:rsidP="004A2FBD">
      <w:pPr>
        <w:pStyle w:val="SourceWide"/>
        <w:spacing w:after="480"/>
        <w:rPr>
          <w:color w:val="595A5B" w:themeColor="text2"/>
        </w:rPr>
      </w:pPr>
      <w:r w:rsidRPr="001F1F3C">
        <w:rPr>
          <w:color w:val="595A5B" w:themeColor="text2"/>
        </w:rPr>
        <w:t xml:space="preserve">Source: </w:t>
      </w:r>
      <w:r w:rsidRPr="001F1F3C">
        <w:rPr>
          <w:color w:val="595A5B" w:themeColor="text2"/>
          <w:szCs w:val="16"/>
        </w:rPr>
        <w:t xml:space="preserve">Department of the Environment and Energy (2018) </w:t>
      </w:r>
      <w:r w:rsidRPr="001F1F3C">
        <w:rPr>
          <w:i/>
          <w:color w:val="595A5B" w:themeColor="text2"/>
        </w:rPr>
        <w:t>Australian Energy Statistics</w:t>
      </w:r>
      <w:r w:rsidRPr="001F1F3C">
        <w:rPr>
          <w:color w:val="595A5B" w:themeColor="text2"/>
        </w:rPr>
        <w:t>, Table O and L</w:t>
      </w:r>
    </w:p>
    <w:p w14:paraId="35EC90ED" w14:textId="2CE405FF" w:rsidR="00AD5317" w:rsidRPr="001F1F3C" w:rsidRDefault="00AD5317" w:rsidP="00AD5317">
      <w:pPr>
        <w:pStyle w:val="Caption"/>
        <w:ind w:left="-1985"/>
      </w:pPr>
      <w:bookmarkStart w:id="136" w:name="_Toc523777427"/>
      <w:r>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3</w:t>
      </w:r>
      <w:r w:rsidR="00941B67">
        <w:rPr>
          <w:noProof/>
        </w:rPr>
        <w:fldChar w:fldCharType="end"/>
      </w:r>
      <w:r w:rsidR="003348D2">
        <w:t>.</w:t>
      </w:r>
      <w:r w:rsidR="00941B67">
        <w:rPr>
          <w:noProof/>
        </w:rPr>
        <w:fldChar w:fldCharType="begin"/>
      </w:r>
      <w:r w:rsidR="00941B67">
        <w:rPr>
          <w:noProof/>
        </w:rPr>
        <w:instrText xml:space="preserve"> SEQ Figure \* ARABIC \s 1 </w:instrText>
      </w:r>
      <w:r w:rsidR="00941B67">
        <w:rPr>
          <w:noProof/>
        </w:rPr>
        <w:fldChar w:fldCharType="separate"/>
      </w:r>
      <w:r w:rsidR="00D72ABB">
        <w:rPr>
          <w:noProof/>
        </w:rPr>
        <w:t>4</w:t>
      </w:r>
      <w:r w:rsidR="00941B67">
        <w:rPr>
          <w:noProof/>
        </w:rPr>
        <w:fldChar w:fldCharType="end"/>
      </w:r>
      <w:r>
        <w:t xml:space="preserve">: </w:t>
      </w:r>
      <w:r w:rsidRPr="001F1F3C">
        <w:t>Australian electricity generation</w:t>
      </w:r>
      <w:r>
        <w:t>, by industry, 2016–17</w:t>
      </w:r>
      <w:bookmarkEnd w:id="136"/>
    </w:p>
    <w:tbl>
      <w:tblPr>
        <w:tblStyle w:val="OCETable"/>
        <w:tblW w:w="6379" w:type="pct"/>
        <w:tblInd w:w="-1877" w:type="dxa"/>
        <w:tblLayout w:type="fixed"/>
        <w:tblLook w:val="04A0" w:firstRow="1" w:lastRow="0" w:firstColumn="1" w:lastColumn="0" w:noHBand="0" w:noVBand="1"/>
        <w:tblCaption w:val="Placeholder obejct only"/>
      </w:tblPr>
      <w:tblGrid>
        <w:gridCol w:w="8795"/>
      </w:tblGrid>
      <w:tr w:rsidR="00AD5317" w:rsidRPr="001F1F3C" w14:paraId="16CB9FCB" w14:textId="77777777" w:rsidTr="00D6514B">
        <w:trPr>
          <w:cnfStyle w:val="100000000000" w:firstRow="1" w:lastRow="0" w:firstColumn="0" w:lastColumn="0" w:oddVBand="0" w:evenVBand="0" w:oddHBand="0" w:evenHBand="0" w:firstRowFirstColumn="0" w:firstRowLastColumn="0" w:lastRowFirstColumn="0" w:lastRowLastColumn="0"/>
          <w:tblHeader/>
        </w:trPr>
        <w:tc>
          <w:tcPr>
            <w:tcW w:w="8795" w:type="dxa"/>
            <w:shd w:val="clear" w:color="auto" w:fill="auto"/>
          </w:tcPr>
          <w:p w14:paraId="4F80AF23" w14:textId="532B919C" w:rsidR="00AD5317" w:rsidRPr="001F1F3C" w:rsidRDefault="00DE6AFF" w:rsidP="00D6514B">
            <w:pPr>
              <w:pStyle w:val="PlaceholderWide"/>
            </w:pPr>
            <w:r>
              <w:rPr>
                <w:noProof/>
                <w:lang w:eastAsia="en-AU"/>
              </w:rPr>
              <w:drawing>
                <wp:inline distT="0" distB="0" distL="0" distR="0" wp14:anchorId="6D06A933" wp14:editId="53045229">
                  <wp:extent cx="5407660" cy="3249295"/>
                  <wp:effectExtent l="0" t="0" r="2540" b="8255"/>
                  <wp:docPr id="26" name="Picture 26" descr="The figure shows the percentage composition of Australian electricity generation by the electricity sectyor, by industry, and from small scale solar photovoltaic production, in 2016-17" title="Figure 3.4: Australian electricity generation, by industry, 20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7660" cy="3249295"/>
                          </a:xfrm>
                          <a:prstGeom prst="rect">
                            <a:avLst/>
                          </a:prstGeom>
                          <a:noFill/>
                        </pic:spPr>
                      </pic:pic>
                    </a:graphicData>
                  </a:graphic>
                </wp:inline>
              </w:drawing>
            </w:r>
          </w:p>
        </w:tc>
      </w:tr>
    </w:tbl>
    <w:p w14:paraId="1CBDEC90" w14:textId="1D335500" w:rsidR="00AD5317" w:rsidRPr="001F1F3C" w:rsidRDefault="00AD5317" w:rsidP="00AD5317">
      <w:pPr>
        <w:pStyle w:val="SourceWide"/>
        <w:rPr>
          <w:color w:val="595A5B" w:themeColor="text2"/>
        </w:rPr>
      </w:pPr>
      <w:r w:rsidRPr="001F1F3C">
        <w:rPr>
          <w:color w:val="595A5B" w:themeColor="text2"/>
        </w:rPr>
        <w:t xml:space="preserve">Source: </w:t>
      </w:r>
      <w:r w:rsidRPr="001F1F3C">
        <w:rPr>
          <w:color w:val="595A5B" w:themeColor="text2"/>
          <w:szCs w:val="16"/>
        </w:rPr>
        <w:t xml:space="preserve">Department of the Environment and Energy (2018) </w:t>
      </w:r>
      <w:r w:rsidRPr="001F1F3C">
        <w:rPr>
          <w:i/>
          <w:color w:val="595A5B" w:themeColor="text2"/>
        </w:rPr>
        <w:t>Australian Energy Statistics</w:t>
      </w:r>
      <w:r w:rsidRPr="001F1F3C">
        <w:rPr>
          <w:color w:val="595A5B" w:themeColor="text2"/>
        </w:rPr>
        <w:t xml:space="preserve">, Table O </w:t>
      </w:r>
    </w:p>
    <w:p w14:paraId="615FAF30" w14:textId="04149620" w:rsidR="00677D66" w:rsidRPr="001F1F3C" w:rsidRDefault="00677D66" w:rsidP="00D11D11">
      <w:pPr>
        <w:pStyle w:val="BodyText"/>
      </w:pPr>
      <w:r w:rsidRPr="005F5D85">
        <w:lastRenderedPageBreak/>
        <w:t xml:space="preserve">Coal remained the major source for electricity generation in </w:t>
      </w:r>
      <w:r w:rsidR="003F2CCE" w:rsidRPr="001F1F3C">
        <w:t>2016–17</w:t>
      </w:r>
      <w:r w:rsidRPr="001F1F3C">
        <w:t xml:space="preserve">, with its share in the fuel mix </w:t>
      </w:r>
      <w:r w:rsidR="0040653A">
        <w:t>remaining at</w:t>
      </w:r>
      <w:r w:rsidR="00201661" w:rsidRPr="001F1F3C">
        <w:t xml:space="preserve"> </w:t>
      </w:r>
      <w:r w:rsidR="00207F42">
        <w:t>6</w:t>
      </w:r>
      <w:r w:rsidR="00823AE6">
        <w:t>3</w:t>
      </w:r>
      <w:r w:rsidR="00201661" w:rsidRPr="001F1F3C">
        <w:t xml:space="preserve"> percent</w:t>
      </w:r>
      <w:r w:rsidRPr="001F1F3C">
        <w:t xml:space="preserve"> (Table </w:t>
      </w:r>
      <w:r w:rsidR="00823AE6">
        <w:t>3</w:t>
      </w:r>
      <w:r w:rsidRPr="001F1F3C">
        <w:t xml:space="preserve">.2). </w:t>
      </w:r>
      <w:r w:rsidR="00201661" w:rsidRPr="001F1F3C">
        <w:t>Coal’s share of the electricity generation mix remains</w:t>
      </w:r>
      <w:r w:rsidRPr="001F1F3C">
        <w:t xml:space="preserve"> well below its share of more than 80 per cent at the be</w:t>
      </w:r>
      <w:r w:rsidR="00143420">
        <w:t>ginning of the century (Figure 3</w:t>
      </w:r>
      <w:r w:rsidRPr="001F1F3C">
        <w:t>.</w:t>
      </w:r>
      <w:r w:rsidR="00747A05">
        <w:t>5</w:t>
      </w:r>
      <w:r w:rsidRPr="001F1F3C">
        <w:t xml:space="preserve">). </w:t>
      </w:r>
    </w:p>
    <w:p w14:paraId="5CD80CAE" w14:textId="3F1341B2" w:rsidR="003951B4" w:rsidRDefault="003951B4" w:rsidP="003951B4">
      <w:pPr>
        <w:pStyle w:val="BodyText"/>
      </w:pPr>
      <w:r w:rsidRPr="001F1F3C">
        <w:t>Coal</w:t>
      </w:r>
      <w:r w:rsidR="004A2FBD">
        <w:t>-</w:t>
      </w:r>
      <w:r w:rsidRPr="001F1F3C">
        <w:t xml:space="preserve">fired generation increased in New South Wales, Western Australia and Queensland in </w:t>
      </w:r>
      <w:r w:rsidR="003F2CCE" w:rsidRPr="001F1F3C">
        <w:t>2016–17</w:t>
      </w:r>
      <w:r w:rsidRPr="001F1F3C">
        <w:t>, with black coal</w:t>
      </w:r>
      <w:r w:rsidR="004A2FBD">
        <w:t>-</w:t>
      </w:r>
      <w:r w:rsidRPr="001F1F3C">
        <w:t xml:space="preserve">fired generation rising by </w:t>
      </w:r>
      <w:r w:rsidR="00025F31" w:rsidRPr="001F1F3C">
        <w:t>3</w:t>
      </w:r>
      <w:r w:rsidR="009148FF">
        <w:t> </w:t>
      </w:r>
      <w:r w:rsidRPr="001F1F3C">
        <w:t>percent. However, brown coal</w:t>
      </w:r>
      <w:r w:rsidR="004A2FBD">
        <w:t>-</w:t>
      </w:r>
      <w:r w:rsidRPr="001F1F3C">
        <w:t xml:space="preserve">fired generation declined by </w:t>
      </w:r>
      <w:r w:rsidR="00025F31" w:rsidRPr="001F1F3C">
        <w:t>11</w:t>
      </w:r>
      <w:r w:rsidRPr="001F1F3C">
        <w:t xml:space="preserve"> per cent in </w:t>
      </w:r>
      <w:r w:rsidR="003F2CCE" w:rsidRPr="001F1F3C">
        <w:t>2016–17</w:t>
      </w:r>
      <w:r w:rsidR="00025F31" w:rsidRPr="001F1F3C">
        <w:t xml:space="preserve">, leading to an overall decline in </w:t>
      </w:r>
      <w:r w:rsidR="004A2FBD">
        <w:t>coal-</w:t>
      </w:r>
      <w:r w:rsidR="00921DE5" w:rsidRPr="001F1F3C">
        <w:t>fired</w:t>
      </w:r>
      <w:r w:rsidR="00025F31" w:rsidRPr="001F1F3C">
        <w:t xml:space="preserve"> generation of 1 per cent</w:t>
      </w:r>
      <w:r w:rsidRPr="001F1F3C">
        <w:t xml:space="preserve">. </w:t>
      </w:r>
      <w:r w:rsidR="00025F31" w:rsidRPr="001F1F3C">
        <w:t xml:space="preserve">This </w:t>
      </w:r>
      <w:r w:rsidR="0040653A">
        <w:t xml:space="preserve">reverses the </w:t>
      </w:r>
      <w:r w:rsidR="004A2FBD">
        <w:t>increase in coal-</w:t>
      </w:r>
      <w:r w:rsidR="00025F31" w:rsidRPr="001F1F3C">
        <w:t>fired generation in</w:t>
      </w:r>
      <w:r w:rsidR="00707F01" w:rsidRPr="001F1F3C">
        <w:t xml:space="preserve"> Australia </w:t>
      </w:r>
      <w:r w:rsidRPr="001F1F3C">
        <w:t>in 2014</w:t>
      </w:r>
      <w:r w:rsidR="00707F01" w:rsidRPr="001F1F3C">
        <w:t>–</w:t>
      </w:r>
      <w:r w:rsidRPr="001F1F3C">
        <w:t>15</w:t>
      </w:r>
      <w:r w:rsidR="00025F31" w:rsidRPr="001F1F3C">
        <w:t xml:space="preserve"> and 2015-16</w:t>
      </w:r>
      <w:r w:rsidRPr="001F1F3C">
        <w:t xml:space="preserve">, </w:t>
      </w:r>
      <w:r w:rsidR="0040653A">
        <w:t>and returns to the previous trend of decline</w:t>
      </w:r>
      <w:r w:rsidRPr="001F1F3C">
        <w:t xml:space="preserve">. The decline in brown coal use </w:t>
      </w:r>
      <w:r w:rsidR="00C208B6" w:rsidRPr="001F1F3C">
        <w:t xml:space="preserve">in </w:t>
      </w:r>
      <w:r w:rsidR="003F2CCE" w:rsidRPr="001F1F3C">
        <w:t>2016–17</w:t>
      </w:r>
      <w:r w:rsidR="00C208B6" w:rsidRPr="001F1F3C">
        <w:t xml:space="preserve"> </w:t>
      </w:r>
      <w:r w:rsidRPr="001F1F3C">
        <w:t xml:space="preserve">reflects the recent closure of capacity in South Australia and Victoria. </w:t>
      </w:r>
    </w:p>
    <w:p w14:paraId="3BFCE53A" w14:textId="0CFFB5DD" w:rsidR="00153764" w:rsidRPr="001F1F3C" w:rsidRDefault="00C1400E" w:rsidP="00082FE6">
      <w:pPr>
        <w:pStyle w:val="Caption"/>
        <w:ind w:left="-1843"/>
      </w:pPr>
      <w:bookmarkStart w:id="137" w:name="_Toc427614409"/>
      <w:bookmarkStart w:id="138" w:name="_Toc428388101"/>
      <w:bookmarkStart w:id="139" w:name="_Toc522198893"/>
      <w:bookmarkStart w:id="140" w:name="_Toc522199913"/>
      <w:bookmarkStart w:id="141" w:name="_Toc523777428"/>
      <w:r>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3</w:t>
      </w:r>
      <w:r w:rsidR="00941B67">
        <w:rPr>
          <w:noProof/>
        </w:rPr>
        <w:fldChar w:fldCharType="end"/>
      </w:r>
      <w:r w:rsidR="003348D2">
        <w:t>.</w:t>
      </w:r>
      <w:r w:rsidR="00941B67">
        <w:rPr>
          <w:noProof/>
        </w:rPr>
        <w:fldChar w:fldCharType="begin"/>
      </w:r>
      <w:r w:rsidR="00941B67">
        <w:rPr>
          <w:noProof/>
        </w:rPr>
        <w:instrText xml:space="preserve"> SEQ Figure \* ARABIC \s 1 </w:instrText>
      </w:r>
      <w:r w:rsidR="00941B67">
        <w:rPr>
          <w:noProof/>
        </w:rPr>
        <w:fldChar w:fldCharType="separate"/>
      </w:r>
      <w:r w:rsidR="00D72ABB">
        <w:rPr>
          <w:noProof/>
        </w:rPr>
        <w:t>5</w:t>
      </w:r>
      <w:r w:rsidR="00941B67">
        <w:rPr>
          <w:noProof/>
        </w:rPr>
        <w:fldChar w:fldCharType="end"/>
      </w:r>
      <w:r>
        <w:t xml:space="preserve">: </w:t>
      </w:r>
      <w:r w:rsidR="00153764" w:rsidRPr="001F1F3C">
        <w:t>Australian electricity generation</w:t>
      </w:r>
      <w:bookmarkEnd w:id="137"/>
      <w:bookmarkEnd w:id="138"/>
      <w:r w:rsidR="00153764" w:rsidRPr="001F1F3C">
        <w:t xml:space="preserve"> fuel mix</w:t>
      </w:r>
      <w:bookmarkEnd w:id="139"/>
      <w:bookmarkEnd w:id="140"/>
      <w:bookmarkEnd w:id="141"/>
      <w:r w:rsidR="00153764" w:rsidRPr="001F1F3C">
        <w:t xml:space="preserve"> </w:t>
      </w:r>
    </w:p>
    <w:tbl>
      <w:tblPr>
        <w:tblStyle w:val="OCETable"/>
        <w:tblW w:w="6394" w:type="pct"/>
        <w:tblInd w:w="-1952" w:type="dxa"/>
        <w:tblLayout w:type="fixed"/>
        <w:tblLook w:val="04A0" w:firstRow="1" w:lastRow="0" w:firstColumn="1" w:lastColumn="0" w:noHBand="0" w:noVBand="1"/>
        <w:tblCaption w:val="Placeholder obejct only"/>
      </w:tblPr>
      <w:tblGrid>
        <w:gridCol w:w="8816"/>
      </w:tblGrid>
      <w:tr w:rsidR="00153764" w:rsidRPr="001F1F3C" w14:paraId="4DE06E29" w14:textId="77777777" w:rsidTr="00143420">
        <w:trPr>
          <w:cnfStyle w:val="100000000000" w:firstRow="1" w:lastRow="0" w:firstColumn="0" w:lastColumn="0" w:oddVBand="0" w:evenVBand="0" w:oddHBand="0" w:evenHBand="0" w:firstRowFirstColumn="0" w:firstRowLastColumn="0" w:lastRowFirstColumn="0" w:lastRowLastColumn="0"/>
          <w:trHeight w:val="5115"/>
          <w:tblHeader/>
        </w:trPr>
        <w:tc>
          <w:tcPr>
            <w:tcW w:w="8816" w:type="dxa"/>
            <w:shd w:val="clear" w:color="auto" w:fill="auto"/>
          </w:tcPr>
          <w:p w14:paraId="6FF2BA42" w14:textId="3A43BCD7" w:rsidR="00153764" w:rsidRPr="001F1F3C" w:rsidRDefault="00DE6AFF" w:rsidP="00B22F32">
            <w:pPr>
              <w:pStyle w:val="PlaceholderWide"/>
              <w:ind w:left="68"/>
            </w:pPr>
            <w:r>
              <w:rPr>
                <w:noProof/>
                <w:lang w:eastAsia="en-AU"/>
              </w:rPr>
              <w:drawing>
                <wp:inline distT="0" distB="0" distL="0" distR="0" wp14:anchorId="58D365A0" wp14:editId="1F66521F">
                  <wp:extent cx="5407660" cy="3249295"/>
                  <wp:effectExtent l="0" t="0" r="2540" b="8255"/>
                  <wp:docPr id="27" name="Picture 27" descr="This figure shows Australian electricity generation fuel mix in shares from 1991-92 to 2016-17 and calendar year 2017" title="Figure 3.5: Australian electricity generation fuel m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07660" cy="3249295"/>
                          </a:xfrm>
                          <a:prstGeom prst="rect">
                            <a:avLst/>
                          </a:prstGeom>
                          <a:noFill/>
                        </pic:spPr>
                      </pic:pic>
                    </a:graphicData>
                  </a:graphic>
                </wp:inline>
              </w:drawing>
            </w:r>
          </w:p>
        </w:tc>
      </w:tr>
    </w:tbl>
    <w:p w14:paraId="35EF0239" w14:textId="77777777" w:rsidR="00153764" w:rsidRPr="001F1F3C" w:rsidRDefault="00153764" w:rsidP="00153764">
      <w:pPr>
        <w:pStyle w:val="NoteWide"/>
        <w:spacing w:after="240"/>
        <w:rPr>
          <w:color w:val="595A5B" w:themeColor="text2"/>
        </w:rPr>
      </w:pPr>
      <w:r w:rsidRPr="001F1F3C">
        <w:rPr>
          <w:color w:val="595A5B" w:themeColor="text2"/>
        </w:rPr>
        <w:t xml:space="preserve">Source: </w:t>
      </w:r>
      <w:r w:rsidRPr="001F1F3C">
        <w:rPr>
          <w:color w:val="595A5B" w:themeColor="text2"/>
          <w:szCs w:val="16"/>
        </w:rPr>
        <w:t xml:space="preserve">Department of the Environment and Energy (2018) </w:t>
      </w:r>
      <w:r w:rsidRPr="001F1F3C">
        <w:rPr>
          <w:i/>
          <w:color w:val="595A5B" w:themeColor="text2"/>
        </w:rPr>
        <w:t>Australian Energy Statistics</w:t>
      </w:r>
      <w:r w:rsidRPr="001F1F3C">
        <w:rPr>
          <w:color w:val="595A5B" w:themeColor="text2"/>
        </w:rPr>
        <w:t>, Table O</w:t>
      </w:r>
    </w:p>
    <w:p w14:paraId="520AC2B5" w14:textId="1AB9B502" w:rsidR="00153764" w:rsidRPr="001F1F3C" w:rsidRDefault="0044181E" w:rsidP="00153764">
      <w:pPr>
        <w:pStyle w:val="BodyText"/>
      </w:pPr>
      <w:r>
        <w:t>Natural gas-</w:t>
      </w:r>
      <w:r w:rsidR="00153764" w:rsidRPr="001F1F3C">
        <w:t>fired generation decreased by 0.2 per cent in 2016–17, and continued to account for about 20 per cent of Australia’s electricity generation. G</w:t>
      </w:r>
      <w:r>
        <w:t>as-fired g</w:t>
      </w:r>
      <w:r w:rsidR="00153764" w:rsidRPr="001F1F3C">
        <w:t xml:space="preserve">eneration fell in </w:t>
      </w:r>
      <w:r w:rsidR="002449C7">
        <w:t xml:space="preserve">some states and territories, but rose in </w:t>
      </w:r>
      <w:r w:rsidR="00153764" w:rsidRPr="001F1F3C">
        <w:t>Victoria, Western Australia and South Australia.</w:t>
      </w:r>
    </w:p>
    <w:p w14:paraId="0929B73E" w14:textId="7F09D060" w:rsidR="00A92D53" w:rsidRDefault="0044181E" w:rsidP="00153764">
      <w:pPr>
        <w:pStyle w:val="BodyText"/>
        <w:spacing w:after="0"/>
      </w:pPr>
      <w:r>
        <w:t>Oil-</w:t>
      </w:r>
      <w:r w:rsidR="00153764" w:rsidRPr="001F1F3C">
        <w:t>fired generation decreased</w:t>
      </w:r>
      <w:r w:rsidR="002449C7">
        <w:t xml:space="preserve"> significantly</w:t>
      </w:r>
      <w:r w:rsidR="00153764" w:rsidRPr="001F1F3C">
        <w:t xml:space="preserve"> in 2016–17</w:t>
      </w:r>
      <w:r w:rsidR="00207F42">
        <w:t xml:space="preserve"> and sits at</w:t>
      </w:r>
      <w:r w:rsidR="00153764" w:rsidRPr="001F1F3C">
        <w:t xml:space="preserve"> 2 per cent of Australia’s electricity generation. This decline largely occurred in Western Australia</w:t>
      </w:r>
      <w:r w:rsidR="002449C7">
        <w:t>,</w:t>
      </w:r>
      <w:r w:rsidR="00153764" w:rsidRPr="001F1F3C">
        <w:t xml:space="preserve"> where gas generation grew instead of oil.</w:t>
      </w:r>
    </w:p>
    <w:p w14:paraId="73F9C431" w14:textId="3FFF1FAD" w:rsidR="00F80402" w:rsidRDefault="00F80402" w:rsidP="00F80402">
      <w:pPr>
        <w:pStyle w:val="BodyText"/>
        <w:spacing w:before="180"/>
      </w:pPr>
      <w:r w:rsidRPr="001F1F3C">
        <w:t xml:space="preserve">Renewable energy accounted for 16 per cent of Australia’s electricity generation in 2016–17. Renewable generation increased by 6 per cent in 2016–17, driven by increases in </w:t>
      </w:r>
      <w:r>
        <w:t xml:space="preserve">solar, </w:t>
      </w:r>
      <w:r w:rsidRPr="001F1F3C">
        <w:t xml:space="preserve">hydro, </w:t>
      </w:r>
      <w:r>
        <w:t xml:space="preserve">and </w:t>
      </w:r>
      <w:r w:rsidRPr="001F1F3C">
        <w:t xml:space="preserve">wind, which increased by </w:t>
      </w:r>
      <w:r>
        <w:t>18</w:t>
      </w:r>
      <w:r w:rsidR="009148FF">
        <w:t> </w:t>
      </w:r>
      <w:r w:rsidRPr="001F1F3C">
        <w:t xml:space="preserve">per cent, </w:t>
      </w:r>
      <w:r>
        <w:t>6</w:t>
      </w:r>
      <w:r w:rsidRPr="001F1F3C">
        <w:t xml:space="preserve"> per cent, and </w:t>
      </w:r>
      <w:r>
        <w:t>3</w:t>
      </w:r>
      <w:r w:rsidRPr="001F1F3C">
        <w:t xml:space="preserve"> per cent respectively. </w:t>
      </w:r>
    </w:p>
    <w:p w14:paraId="4FE87E24" w14:textId="4EA74BAA" w:rsidR="00F80402" w:rsidRDefault="00F80402" w:rsidP="00F80402">
      <w:pPr>
        <w:pStyle w:val="BodyText"/>
        <w:spacing w:before="180"/>
      </w:pPr>
      <w:r w:rsidRPr="001F1F3C">
        <w:t>Hydro continues to be the largest contributor to renewable generation, with a 40 per cent share of renewable generation in</w:t>
      </w:r>
      <w:r w:rsidR="009148FF">
        <w:t xml:space="preserve"> 2016–17. This compares with </w:t>
      </w:r>
      <w:r w:rsidR="009148FF">
        <w:lastRenderedPageBreak/>
        <w:t>95 </w:t>
      </w:r>
      <w:r w:rsidRPr="001F1F3C">
        <w:t xml:space="preserve">per cent in 2000–01, </w:t>
      </w:r>
      <w:r w:rsidR="0044181E">
        <w:t>with</w:t>
      </w:r>
      <w:r>
        <w:t xml:space="preserve"> </w:t>
      </w:r>
      <w:r w:rsidRPr="001F1F3C">
        <w:t xml:space="preserve">the composition of renewable energy in Australia </w:t>
      </w:r>
      <w:r>
        <w:t>diversi</w:t>
      </w:r>
      <w:r w:rsidR="0044181E">
        <w:t xml:space="preserve">fying </w:t>
      </w:r>
      <w:r w:rsidRPr="001F1F3C">
        <w:t>significantly as wind and increasingly solar ca</w:t>
      </w:r>
      <w:r>
        <w:t>pacity has come online (Figure 3</w:t>
      </w:r>
      <w:r w:rsidRPr="001F1F3C">
        <w:t>.5)</w:t>
      </w:r>
      <w:r>
        <w:t>.</w:t>
      </w:r>
    </w:p>
    <w:p w14:paraId="06436A13" w14:textId="63612B5A" w:rsidR="00153764" w:rsidRPr="001F1F3C" w:rsidRDefault="00C1400E" w:rsidP="00082FE6">
      <w:pPr>
        <w:pStyle w:val="Caption"/>
      </w:pPr>
      <w:bookmarkStart w:id="142" w:name="_Toc461142065"/>
      <w:bookmarkStart w:id="143" w:name="_Toc522199779"/>
      <w:bookmarkStart w:id="144" w:name="_Toc522635723"/>
      <w:r>
        <w:t xml:space="preserve">Table </w:t>
      </w:r>
      <w:r w:rsidR="00941B67">
        <w:rPr>
          <w:noProof/>
        </w:rPr>
        <w:fldChar w:fldCharType="begin"/>
      </w:r>
      <w:r w:rsidR="00941B67">
        <w:rPr>
          <w:noProof/>
        </w:rPr>
        <w:instrText xml:space="preserve"> STYLEREF 1 \s </w:instrText>
      </w:r>
      <w:r w:rsidR="00941B67">
        <w:rPr>
          <w:noProof/>
        </w:rPr>
        <w:fldChar w:fldCharType="separate"/>
      </w:r>
      <w:r w:rsidR="00D72ABB">
        <w:rPr>
          <w:noProof/>
        </w:rPr>
        <w:t>3</w:t>
      </w:r>
      <w:r w:rsidR="00941B67">
        <w:rPr>
          <w:noProof/>
        </w:rPr>
        <w:fldChar w:fldCharType="end"/>
      </w:r>
      <w:r>
        <w:t>.</w:t>
      </w:r>
      <w:r w:rsidR="00941B67">
        <w:rPr>
          <w:noProof/>
        </w:rPr>
        <w:fldChar w:fldCharType="begin"/>
      </w:r>
      <w:r w:rsidR="00941B67">
        <w:rPr>
          <w:noProof/>
        </w:rPr>
        <w:instrText xml:space="preserve"> SEQ Table \* ARABIC \s 1 </w:instrText>
      </w:r>
      <w:r w:rsidR="00941B67">
        <w:rPr>
          <w:noProof/>
        </w:rPr>
        <w:fldChar w:fldCharType="separate"/>
      </w:r>
      <w:r w:rsidR="00D72ABB">
        <w:rPr>
          <w:noProof/>
        </w:rPr>
        <w:t>2</w:t>
      </w:r>
      <w:r w:rsidR="00941B67">
        <w:rPr>
          <w:noProof/>
        </w:rPr>
        <w:fldChar w:fldCharType="end"/>
      </w:r>
      <w:r>
        <w:t xml:space="preserve">: </w:t>
      </w:r>
      <w:r w:rsidR="00153764" w:rsidRPr="001F1F3C">
        <w:t>Australian electricity generation, by fuel type</w:t>
      </w:r>
      <w:bookmarkEnd w:id="142"/>
      <w:bookmarkEnd w:id="143"/>
      <w:bookmarkEnd w:id="144"/>
    </w:p>
    <w:tbl>
      <w:tblPr>
        <w:tblW w:w="6946" w:type="dxa"/>
        <w:tblLook w:val="04A0" w:firstRow="1" w:lastRow="0" w:firstColumn="1" w:lastColumn="0" w:noHBand="0" w:noVBand="1"/>
      </w:tblPr>
      <w:tblGrid>
        <w:gridCol w:w="1870"/>
        <w:gridCol w:w="669"/>
        <w:gridCol w:w="1005"/>
        <w:gridCol w:w="734"/>
        <w:gridCol w:w="258"/>
        <w:gridCol w:w="278"/>
        <w:gridCol w:w="1055"/>
        <w:gridCol w:w="1077"/>
      </w:tblGrid>
      <w:tr w:rsidR="00A92D53" w:rsidRPr="001F1F3C" w14:paraId="220F966D" w14:textId="77777777" w:rsidTr="00FA26DB">
        <w:trPr>
          <w:trHeight w:val="349"/>
        </w:trPr>
        <w:tc>
          <w:tcPr>
            <w:tcW w:w="1870" w:type="dxa"/>
            <w:tcBorders>
              <w:top w:val="nil"/>
              <w:left w:val="nil"/>
              <w:bottom w:val="nil"/>
              <w:right w:val="nil"/>
            </w:tcBorders>
            <w:shd w:val="clear" w:color="000000" w:fill="22789A"/>
            <w:noWrap/>
            <w:vAlign w:val="bottom"/>
            <w:hideMark/>
          </w:tcPr>
          <w:p w14:paraId="56BF4F3A" w14:textId="77777777" w:rsidR="00A92D53" w:rsidRPr="001F1F3C" w:rsidRDefault="00A92D53" w:rsidP="00B22F32">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408" w:type="dxa"/>
            <w:gridSpan w:val="3"/>
            <w:tcBorders>
              <w:top w:val="nil"/>
              <w:left w:val="nil"/>
              <w:bottom w:val="nil"/>
              <w:right w:val="nil"/>
            </w:tcBorders>
            <w:shd w:val="clear" w:color="000000" w:fill="22789A"/>
            <w:noWrap/>
            <w:vAlign w:val="center"/>
            <w:hideMark/>
          </w:tcPr>
          <w:p w14:paraId="2BBC38BA" w14:textId="4DCE94A7" w:rsidR="00A92D53" w:rsidRPr="001F1F3C" w:rsidRDefault="00A92D53" w:rsidP="00A92D53">
            <w:pPr>
              <w:spacing w:after="0" w:line="360" w:lineRule="auto"/>
              <w:ind w:left="0"/>
              <w:jc w:val="center"/>
              <w:rPr>
                <w:rFonts w:eastAsia="Times New Roman" w:cs="Arial"/>
                <w:color w:val="000000"/>
                <w:sz w:val="22"/>
                <w:lang w:eastAsia="en-AU"/>
              </w:rPr>
            </w:pPr>
            <w:r w:rsidRPr="001F1F3C">
              <w:rPr>
                <w:rFonts w:eastAsia="Times New Roman" w:cs="Arial"/>
                <w:i/>
                <w:iCs/>
                <w:color w:val="FFFFFF" w:themeColor="background2"/>
                <w:sz w:val="18"/>
                <w:szCs w:val="18"/>
                <w:lang w:eastAsia="en-AU"/>
              </w:rPr>
              <w:t>2016–17</w:t>
            </w:r>
          </w:p>
        </w:tc>
        <w:tc>
          <w:tcPr>
            <w:tcW w:w="536" w:type="dxa"/>
            <w:gridSpan w:val="2"/>
            <w:tcBorders>
              <w:top w:val="nil"/>
              <w:left w:val="nil"/>
              <w:bottom w:val="nil"/>
              <w:right w:val="nil"/>
            </w:tcBorders>
            <w:shd w:val="clear" w:color="000000" w:fill="22789A"/>
            <w:noWrap/>
            <w:vAlign w:val="bottom"/>
            <w:hideMark/>
          </w:tcPr>
          <w:p w14:paraId="70A4D2B1" w14:textId="40698911" w:rsidR="00A92D53" w:rsidRPr="001F1F3C" w:rsidRDefault="00A92D53" w:rsidP="00B22F32">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2132" w:type="dxa"/>
            <w:gridSpan w:val="2"/>
            <w:tcBorders>
              <w:top w:val="nil"/>
              <w:left w:val="nil"/>
              <w:bottom w:val="nil"/>
              <w:right w:val="nil"/>
            </w:tcBorders>
            <w:shd w:val="clear" w:color="000000" w:fill="22789A"/>
            <w:noWrap/>
            <w:vAlign w:val="center"/>
            <w:hideMark/>
          </w:tcPr>
          <w:p w14:paraId="7E33BE11" w14:textId="77777777" w:rsidR="00A92D53" w:rsidRPr="001F1F3C" w:rsidRDefault="00A92D53" w:rsidP="00B22F32">
            <w:pPr>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Average annual growth</w:t>
            </w:r>
          </w:p>
        </w:tc>
      </w:tr>
      <w:tr w:rsidR="00153764" w:rsidRPr="001F1F3C" w14:paraId="002F566A" w14:textId="77777777" w:rsidTr="00FA26DB">
        <w:trPr>
          <w:trHeight w:val="294"/>
        </w:trPr>
        <w:tc>
          <w:tcPr>
            <w:tcW w:w="2539" w:type="dxa"/>
            <w:gridSpan w:val="2"/>
            <w:vMerge w:val="restart"/>
            <w:tcBorders>
              <w:top w:val="nil"/>
              <w:left w:val="nil"/>
              <w:bottom w:val="nil"/>
              <w:right w:val="nil"/>
            </w:tcBorders>
            <w:shd w:val="clear" w:color="000000" w:fill="CAE7F3"/>
            <w:noWrap/>
            <w:vAlign w:val="bottom"/>
            <w:hideMark/>
          </w:tcPr>
          <w:p w14:paraId="6FCDDD24" w14:textId="77777777" w:rsidR="00153764" w:rsidRPr="001F1F3C" w:rsidRDefault="00153764" w:rsidP="00B22F32">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1005" w:type="dxa"/>
            <w:vMerge w:val="restart"/>
            <w:tcBorders>
              <w:top w:val="nil"/>
              <w:left w:val="nil"/>
              <w:bottom w:val="nil"/>
              <w:right w:val="nil"/>
            </w:tcBorders>
            <w:shd w:val="clear" w:color="000000" w:fill="CAE7F3"/>
            <w:noWrap/>
            <w:hideMark/>
          </w:tcPr>
          <w:p w14:paraId="47A9B061" w14:textId="77777777" w:rsidR="00153764" w:rsidRPr="001F1F3C" w:rsidRDefault="00153764" w:rsidP="00B22F32">
            <w:pPr>
              <w:spacing w:after="0" w:line="360" w:lineRule="auto"/>
              <w:ind w:left="0"/>
              <w:jc w:val="right"/>
              <w:rPr>
                <w:rFonts w:eastAsia="Times New Roman" w:cs="Arial"/>
                <w:sz w:val="18"/>
                <w:szCs w:val="18"/>
                <w:lang w:eastAsia="en-AU"/>
              </w:rPr>
            </w:pPr>
            <w:r w:rsidRPr="001F1F3C">
              <w:rPr>
                <w:rFonts w:eastAsia="Times New Roman" w:cs="Arial"/>
                <w:color w:val="595A5B" w:themeColor="accent5"/>
                <w:sz w:val="18"/>
                <w:szCs w:val="18"/>
                <w:lang w:eastAsia="en-AU"/>
              </w:rPr>
              <w:t>GWh</w:t>
            </w:r>
          </w:p>
        </w:tc>
        <w:tc>
          <w:tcPr>
            <w:tcW w:w="992" w:type="dxa"/>
            <w:gridSpan w:val="2"/>
            <w:tcBorders>
              <w:top w:val="nil"/>
              <w:left w:val="nil"/>
              <w:bottom w:val="nil"/>
              <w:right w:val="nil"/>
            </w:tcBorders>
            <w:shd w:val="clear" w:color="000000" w:fill="CAE7F3"/>
            <w:noWrap/>
            <w:vAlign w:val="center"/>
            <w:hideMark/>
          </w:tcPr>
          <w:p w14:paraId="53E04E48" w14:textId="77777777" w:rsidR="00153764" w:rsidRPr="001F1F3C" w:rsidRDefault="00153764" w:rsidP="00B22F32">
            <w:pPr>
              <w:spacing w:after="0" w:line="360" w:lineRule="auto"/>
              <w:ind w:left="0"/>
              <w:jc w:val="right"/>
              <w:rPr>
                <w:rFonts w:eastAsia="Times New Roman" w:cs="Arial"/>
                <w:sz w:val="18"/>
                <w:szCs w:val="18"/>
                <w:lang w:eastAsia="en-AU"/>
              </w:rPr>
            </w:pPr>
            <w:r w:rsidRPr="001F1F3C">
              <w:rPr>
                <w:rFonts w:eastAsia="Times New Roman" w:cs="Arial"/>
                <w:color w:val="595A5B" w:themeColor="accent5"/>
                <w:sz w:val="18"/>
                <w:szCs w:val="18"/>
                <w:lang w:eastAsia="en-AU"/>
              </w:rPr>
              <w:t>share</w:t>
            </w:r>
          </w:p>
        </w:tc>
        <w:tc>
          <w:tcPr>
            <w:tcW w:w="278" w:type="dxa"/>
            <w:vMerge w:val="restart"/>
            <w:tcBorders>
              <w:top w:val="nil"/>
              <w:left w:val="nil"/>
              <w:bottom w:val="nil"/>
              <w:right w:val="nil"/>
            </w:tcBorders>
            <w:shd w:val="clear" w:color="000000" w:fill="CAE7F3"/>
            <w:noWrap/>
            <w:vAlign w:val="bottom"/>
            <w:hideMark/>
          </w:tcPr>
          <w:p w14:paraId="5F280036" w14:textId="77777777" w:rsidR="00153764" w:rsidRPr="001F1F3C" w:rsidRDefault="00153764" w:rsidP="00B22F32">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1055" w:type="dxa"/>
            <w:tcBorders>
              <w:top w:val="nil"/>
              <w:left w:val="nil"/>
              <w:bottom w:val="nil"/>
              <w:right w:val="nil"/>
            </w:tcBorders>
            <w:shd w:val="clear" w:color="000000" w:fill="CAE7F3"/>
            <w:noWrap/>
            <w:vAlign w:val="center"/>
            <w:hideMark/>
          </w:tcPr>
          <w:p w14:paraId="1C9D1294" w14:textId="77777777" w:rsidR="00153764" w:rsidRPr="001F1F3C" w:rsidRDefault="00153764" w:rsidP="00B22F32">
            <w:pPr>
              <w:spacing w:after="0" w:line="360" w:lineRule="auto"/>
              <w:ind w:left="0"/>
              <w:jc w:val="right"/>
              <w:rPr>
                <w:rFonts w:eastAsia="Times New Roman" w:cs="Arial"/>
                <w:sz w:val="18"/>
                <w:szCs w:val="18"/>
                <w:lang w:eastAsia="en-AU"/>
              </w:rPr>
            </w:pPr>
            <w:r w:rsidRPr="001F1F3C">
              <w:rPr>
                <w:rFonts w:eastAsia="Times New Roman" w:cs="Arial"/>
                <w:color w:val="595A5B" w:themeColor="accent5"/>
                <w:sz w:val="18"/>
                <w:szCs w:val="18"/>
                <w:lang w:eastAsia="en-AU"/>
              </w:rPr>
              <w:t>2016–17</w:t>
            </w:r>
          </w:p>
        </w:tc>
        <w:tc>
          <w:tcPr>
            <w:tcW w:w="1077" w:type="dxa"/>
            <w:tcBorders>
              <w:top w:val="nil"/>
              <w:left w:val="nil"/>
              <w:bottom w:val="nil"/>
              <w:right w:val="nil"/>
            </w:tcBorders>
            <w:shd w:val="clear" w:color="000000" w:fill="CAE7F3"/>
            <w:noWrap/>
            <w:vAlign w:val="center"/>
            <w:hideMark/>
          </w:tcPr>
          <w:p w14:paraId="50DE6E03" w14:textId="77777777" w:rsidR="00153764" w:rsidRPr="001F1F3C" w:rsidRDefault="00153764" w:rsidP="00B22F32">
            <w:pPr>
              <w:spacing w:after="0" w:line="360" w:lineRule="auto"/>
              <w:ind w:left="0"/>
              <w:jc w:val="right"/>
              <w:rPr>
                <w:rFonts w:eastAsia="Times New Roman" w:cs="Arial"/>
                <w:sz w:val="18"/>
                <w:szCs w:val="18"/>
                <w:lang w:eastAsia="en-AU"/>
              </w:rPr>
            </w:pPr>
            <w:r w:rsidRPr="001F1F3C">
              <w:rPr>
                <w:rFonts w:eastAsia="Times New Roman" w:cs="Arial"/>
                <w:color w:val="595A5B" w:themeColor="accent5"/>
                <w:sz w:val="18"/>
                <w:szCs w:val="18"/>
                <w:lang w:eastAsia="en-AU"/>
              </w:rPr>
              <w:t>10 years</w:t>
            </w:r>
          </w:p>
        </w:tc>
      </w:tr>
      <w:tr w:rsidR="00153764" w:rsidRPr="001F1F3C" w14:paraId="2B4BADAD" w14:textId="77777777" w:rsidTr="00FA26DB">
        <w:trPr>
          <w:trHeight w:val="294"/>
        </w:trPr>
        <w:tc>
          <w:tcPr>
            <w:tcW w:w="2539" w:type="dxa"/>
            <w:gridSpan w:val="2"/>
            <w:vMerge/>
            <w:tcBorders>
              <w:top w:val="nil"/>
              <w:left w:val="nil"/>
              <w:bottom w:val="nil"/>
              <w:right w:val="nil"/>
            </w:tcBorders>
            <w:vAlign w:val="center"/>
            <w:hideMark/>
          </w:tcPr>
          <w:p w14:paraId="3312D482" w14:textId="77777777" w:rsidR="00153764" w:rsidRPr="001F1F3C" w:rsidRDefault="00153764" w:rsidP="00B22F32">
            <w:pPr>
              <w:spacing w:after="0" w:line="360" w:lineRule="auto"/>
              <w:ind w:left="0"/>
              <w:jc w:val="left"/>
              <w:rPr>
                <w:rFonts w:eastAsia="Times New Roman" w:cs="Arial"/>
                <w:color w:val="000000"/>
                <w:sz w:val="22"/>
                <w:lang w:eastAsia="en-AU"/>
              </w:rPr>
            </w:pPr>
          </w:p>
        </w:tc>
        <w:tc>
          <w:tcPr>
            <w:tcW w:w="1005" w:type="dxa"/>
            <w:vMerge/>
            <w:tcBorders>
              <w:top w:val="nil"/>
              <w:left w:val="nil"/>
              <w:bottom w:val="nil"/>
              <w:right w:val="nil"/>
            </w:tcBorders>
            <w:vAlign w:val="center"/>
            <w:hideMark/>
          </w:tcPr>
          <w:p w14:paraId="746F5B50" w14:textId="77777777" w:rsidR="00153764" w:rsidRPr="001F1F3C" w:rsidRDefault="00153764" w:rsidP="00B22F32">
            <w:pPr>
              <w:spacing w:after="0" w:line="360" w:lineRule="auto"/>
              <w:ind w:left="0"/>
              <w:jc w:val="left"/>
              <w:rPr>
                <w:rFonts w:eastAsia="Times New Roman" w:cs="Arial"/>
                <w:sz w:val="18"/>
                <w:szCs w:val="18"/>
                <w:lang w:eastAsia="en-AU"/>
              </w:rPr>
            </w:pPr>
          </w:p>
        </w:tc>
        <w:tc>
          <w:tcPr>
            <w:tcW w:w="992" w:type="dxa"/>
            <w:gridSpan w:val="2"/>
            <w:tcBorders>
              <w:top w:val="nil"/>
              <w:left w:val="nil"/>
              <w:bottom w:val="nil"/>
              <w:right w:val="nil"/>
            </w:tcBorders>
            <w:shd w:val="clear" w:color="000000" w:fill="CAE7F3"/>
            <w:noWrap/>
            <w:vAlign w:val="center"/>
            <w:hideMark/>
          </w:tcPr>
          <w:p w14:paraId="6F0EFD5A" w14:textId="77777777" w:rsidR="00153764" w:rsidRPr="001F1F3C" w:rsidRDefault="00153764" w:rsidP="00B22F32">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c>
          <w:tcPr>
            <w:tcW w:w="278" w:type="dxa"/>
            <w:vMerge/>
            <w:tcBorders>
              <w:top w:val="nil"/>
              <w:left w:val="nil"/>
              <w:bottom w:val="nil"/>
              <w:right w:val="nil"/>
            </w:tcBorders>
            <w:vAlign w:val="center"/>
            <w:hideMark/>
          </w:tcPr>
          <w:p w14:paraId="2D1A581D" w14:textId="77777777" w:rsidR="00153764" w:rsidRPr="001F1F3C" w:rsidRDefault="00153764" w:rsidP="00B22F32">
            <w:pPr>
              <w:spacing w:after="0" w:line="360" w:lineRule="auto"/>
              <w:ind w:left="0"/>
              <w:jc w:val="left"/>
              <w:rPr>
                <w:rFonts w:eastAsia="Times New Roman" w:cs="Arial"/>
                <w:color w:val="000000"/>
                <w:sz w:val="22"/>
                <w:lang w:eastAsia="en-AU"/>
              </w:rPr>
            </w:pPr>
          </w:p>
        </w:tc>
        <w:tc>
          <w:tcPr>
            <w:tcW w:w="1055" w:type="dxa"/>
            <w:tcBorders>
              <w:top w:val="nil"/>
              <w:left w:val="nil"/>
              <w:bottom w:val="nil"/>
              <w:right w:val="nil"/>
            </w:tcBorders>
            <w:shd w:val="clear" w:color="000000" w:fill="CAE7F3"/>
            <w:noWrap/>
            <w:vAlign w:val="center"/>
            <w:hideMark/>
          </w:tcPr>
          <w:p w14:paraId="66B31218" w14:textId="77777777" w:rsidR="00153764" w:rsidRPr="001F1F3C" w:rsidRDefault="00153764" w:rsidP="00B22F32">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c>
          <w:tcPr>
            <w:tcW w:w="1077" w:type="dxa"/>
            <w:tcBorders>
              <w:top w:val="nil"/>
              <w:left w:val="nil"/>
              <w:bottom w:val="nil"/>
              <w:right w:val="nil"/>
            </w:tcBorders>
            <w:shd w:val="clear" w:color="000000" w:fill="CAE7F3"/>
            <w:noWrap/>
            <w:vAlign w:val="center"/>
            <w:hideMark/>
          </w:tcPr>
          <w:p w14:paraId="7ECA2072" w14:textId="77777777" w:rsidR="00153764" w:rsidRPr="001F1F3C" w:rsidRDefault="00153764" w:rsidP="00B22F32">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r>
      <w:tr w:rsidR="009B0BCA" w:rsidRPr="001F1F3C" w14:paraId="2455CF75" w14:textId="77777777" w:rsidTr="00FA26DB">
        <w:trPr>
          <w:trHeight w:val="294"/>
        </w:trPr>
        <w:tc>
          <w:tcPr>
            <w:tcW w:w="2539" w:type="dxa"/>
            <w:gridSpan w:val="2"/>
            <w:tcBorders>
              <w:top w:val="nil"/>
              <w:left w:val="nil"/>
              <w:bottom w:val="nil"/>
              <w:right w:val="nil"/>
            </w:tcBorders>
            <w:shd w:val="clear" w:color="000000" w:fill="CAE7F3"/>
            <w:noWrap/>
            <w:hideMark/>
          </w:tcPr>
          <w:p w14:paraId="11528DDB" w14:textId="126AC5DD" w:rsidR="009B0BCA" w:rsidRPr="009B0BCA" w:rsidRDefault="009B0BCA" w:rsidP="009B0BCA">
            <w:pPr>
              <w:spacing w:after="0" w:line="360" w:lineRule="auto"/>
              <w:ind w:left="0"/>
              <w:jc w:val="left"/>
              <w:rPr>
                <w:rFonts w:asciiTheme="minorHAnsi" w:eastAsia="Times New Roman" w:hAnsiTheme="minorHAnsi" w:cstheme="minorHAnsi"/>
                <w:b/>
                <w:bCs/>
                <w:sz w:val="18"/>
                <w:szCs w:val="18"/>
                <w:lang w:eastAsia="en-AU"/>
              </w:rPr>
            </w:pPr>
            <w:r w:rsidRPr="009B0BCA">
              <w:rPr>
                <w:b/>
                <w:sz w:val="18"/>
                <w:szCs w:val="18"/>
              </w:rPr>
              <w:t xml:space="preserve">Fossil fuels </w:t>
            </w:r>
          </w:p>
        </w:tc>
        <w:tc>
          <w:tcPr>
            <w:tcW w:w="1005" w:type="dxa"/>
            <w:tcBorders>
              <w:top w:val="nil"/>
              <w:left w:val="nil"/>
              <w:bottom w:val="nil"/>
              <w:right w:val="nil"/>
            </w:tcBorders>
            <w:shd w:val="clear" w:color="000000" w:fill="CAE7F3"/>
            <w:noWrap/>
            <w:hideMark/>
          </w:tcPr>
          <w:p w14:paraId="2718D364" w14:textId="0BA1E9F2" w:rsidR="009B0BCA" w:rsidRPr="009B0BCA" w:rsidRDefault="009B0BCA" w:rsidP="009B0BCA">
            <w:pPr>
              <w:spacing w:after="0" w:line="360" w:lineRule="auto"/>
              <w:ind w:left="0"/>
              <w:jc w:val="right"/>
              <w:rPr>
                <w:rFonts w:asciiTheme="minorHAnsi" w:eastAsia="Times New Roman" w:hAnsiTheme="minorHAnsi" w:cstheme="minorHAnsi"/>
                <w:b/>
                <w:bCs/>
                <w:color w:val="595A5B" w:themeColor="accent5"/>
                <w:sz w:val="18"/>
                <w:szCs w:val="18"/>
                <w:lang w:eastAsia="en-AU"/>
              </w:rPr>
            </w:pPr>
            <w:r w:rsidRPr="009B0BCA">
              <w:rPr>
                <w:b/>
                <w:sz w:val="18"/>
                <w:szCs w:val="18"/>
              </w:rPr>
              <w:t>217,562</w:t>
            </w:r>
          </w:p>
        </w:tc>
        <w:tc>
          <w:tcPr>
            <w:tcW w:w="992" w:type="dxa"/>
            <w:gridSpan w:val="2"/>
            <w:tcBorders>
              <w:top w:val="nil"/>
              <w:left w:val="nil"/>
              <w:bottom w:val="nil"/>
              <w:right w:val="nil"/>
            </w:tcBorders>
            <w:shd w:val="clear" w:color="000000" w:fill="CAE7F3"/>
            <w:noWrap/>
            <w:hideMark/>
          </w:tcPr>
          <w:p w14:paraId="7E726C14" w14:textId="459458E4" w:rsidR="009B0BCA" w:rsidRPr="009B0BCA" w:rsidRDefault="009B0BCA" w:rsidP="009B0BCA">
            <w:pPr>
              <w:spacing w:after="0" w:line="360" w:lineRule="auto"/>
              <w:ind w:left="0"/>
              <w:jc w:val="right"/>
              <w:rPr>
                <w:rFonts w:asciiTheme="minorHAnsi" w:eastAsia="Times New Roman" w:hAnsiTheme="minorHAnsi" w:cstheme="minorHAnsi"/>
                <w:b/>
                <w:bCs/>
                <w:color w:val="595A5B" w:themeColor="accent5"/>
                <w:sz w:val="18"/>
                <w:szCs w:val="18"/>
                <w:lang w:eastAsia="en-AU"/>
              </w:rPr>
            </w:pPr>
            <w:r w:rsidRPr="009B0BCA">
              <w:rPr>
                <w:b/>
                <w:sz w:val="18"/>
                <w:szCs w:val="18"/>
              </w:rPr>
              <w:t>84.3</w:t>
            </w:r>
          </w:p>
        </w:tc>
        <w:tc>
          <w:tcPr>
            <w:tcW w:w="278" w:type="dxa"/>
            <w:tcBorders>
              <w:top w:val="nil"/>
              <w:left w:val="nil"/>
              <w:bottom w:val="nil"/>
              <w:right w:val="nil"/>
            </w:tcBorders>
            <w:shd w:val="clear" w:color="000000" w:fill="CAE7F3"/>
            <w:noWrap/>
            <w:hideMark/>
          </w:tcPr>
          <w:p w14:paraId="06A949C8" w14:textId="77777777" w:rsidR="009B0BCA" w:rsidRPr="009B0BCA" w:rsidRDefault="009B0BCA" w:rsidP="009B0BCA">
            <w:pPr>
              <w:spacing w:after="0" w:line="360" w:lineRule="auto"/>
              <w:ind w:left="0"/>
              <w:jc w:val="right"/>
              <w:rPr>
                <w:rFonts w:asciiTheme="minorHAnsi" w:eastAsia="Times New Roman" w:hAnsiTheme="minorHAnsi" w:cstheme="minorHAnsi"/>
                <w:b/>
                <w:bCs/>
                <w:color w:val="595A5B" w:themeColor="accent5"/>
                <w:sz w:val="18"/>
                <w:szCs w:val="18"/>
                <w:lang w:eastAsia="en-AU"/>
              </w:rPr>
            </w:pPr>
          </w:p>
        </w:tc>
        <w:tc>
          <w:tcPr>
            <w:tcW w:w="1055" w:type="dxa"/>
            <w:tcBorders>
              <w:top w:val="nil"/>
              <w:left w:val="nil"/>
              <w:bottom w:val="nil"/>
              <w:right w:val="nil"/>
            </w:tcBorders>
            <w:shd w:val="clear" w:color="000000" w:fill="CAE7F3"/>
            <w:noWrap/>
            <w:hideMark/>
          </w:tcPr>
          <w:p w14:paraId="278043B7" w14:textId="47129D76" w:rsidR="009B0BCA" w:rsidRPr="009B0BCA" w:rsidRDefault="009B0BCA" w:rsidP="009B0BCA">
            <w:pPr>
              <w:spacing w:after="0" w:line="360" w:lineRule="auto"/>
              <w:ind w:left="0"/>
              <w:jc w:val="right"/>
              <w:rPr>
                <w:rFonts w:asciiTheme="minorHAnsi" w:eastAsia="Times New Roman" w:hAnsiTheme="minorHAnsi" w:cstheme="minorHAnsi"/>
                <w:b/>
                <w:bCs/>
                <w:color w:val="595A5B" w:themeColor="accent5"/>
                <w:sz w:val="18"/>
                <w:szCs w:val="18"/>
                <w:lang w:eastAsia="en-AU"/>
              </w:rPr>
            </w:pPr>
            <w:r w:rsidRPr="009B0BCA">
              <w:rPr>
                <w:b/>
                <w:sz w:val="18"/>
                <w:szCs w:val="18"/>
              </w:rPr>
              <w:t>-0.8</w:t>
            </w:r>
          </w:p>
        </w:tc>
        <w:tc>
          <w:tcPr>
            <w:tcW w:w="1077" w:type="dxa"/>
            <w:tcBorders>
              <w:top w:val="nil"/>
              <w:left w:val="nil"/>
              <w:bottom w:val="nil"/>
              <w:right w:val="nil"/>
            </w:tcBorders>
            <w:shd w:val="clear" w:color="000000" w:fill="CAE7F3"/>
            <w:noWrap/>
            <w:hideMark/>
          </w:tcPr>
          <w:p w14:paraId="7EB296F2" w14:textId="2CB915A2" w:rsidR="009B0BCA" w:rsidRPr="009B0BCA" w:rsidRDefault="009B0BCA" w:rsidP="009B0BCA">
            <w:pPr>
              <w:spacing w:after="0" w:line="360" w:lineRule="auto"/>
              <w:ind w:left="0"/>
              <w:jc w:val="right"/>
              <w:rPr>
                <w:rFonts w:asciiTheme="minorHAnsi" w:eastAsia="Times New Roman" w:hAnsiTheme="minorHAnsi" w:cstheme="minorHAnsi"/>
                <w:b/>
                <w:bCs/>
                <w:color w:val="595A5B" w:themeColor="accent5"/>
                <w:sz w:val="18"/>
                <w:szCs w:val="18"/>
                <w:lang w:eastAsia="en-AU"/>
              </w:rPr>
            </w:pPr>
            <w:r w:rsidRPr="009B0BCA">
              <w:rPr>
                <w:b/>
                <w:sz w:val="18"/>
                <w:szCs w:val="18"/>
              </w:rPr>
              <w:t>-0.3</w:t>
            </w:r>
          </w:p>
        </w:tc>
      </w:tr>
      <w:tr w:rsidR="009B0BCA" w:rsidRPr="001F1F3C" w14:paraId="54DB5855" w14:textId="77777777" w:rsidTr="00FA26DB">
        <w:trPr>
          <w:trHeight w:val="294"/>
        </w:trPr>
        <w:tc>
          <w:tcPr>
            <w:tcW w:w="2539" w:type="dxa"/>
            <w:gridSpan w:val="2"/>
            <w:tcBorders>
              <w:top w:val="nil"/>
              <w:left w:val="nil"/>
              <w:bottom w:val="nil"/>
              <w:right w:val="nil"/>
            </w:tcBorders>
            <w:shd w:val="clear" w:color="000000" w:fill="CAE7F3"/>
            <w:noWrap/>
            <w:hideMark/>
          </w:tcPr>
          <w:p w14:paraId="0B0473A1" w14:textId="6564C9EC" w:rsidR="009B0BCA" w:rsidRPr="009B0BCA" w:rsidRDefault="009B0BCA" w:rsidP="009B0BCA">
            <w:pPr>
              <w:spacing w:after="0" w:line="360" w:lineRule="auto"/>
              <w:ind w:left="0"/>
              <w:jc w:val="left"/>
              <w:rPr>
                <w:rFonts w:asciiTheme="minorHAnsi" w:eastAsia="Times New Roman" w:hAnsiTheme="minorHAnsi" w:cstheme="minorHAnsi"/>
                <w:sz w:val="18"/>
                <w:szCs w:val="18"/>
                <w:lang w:eastAsia="en-AU"/>
              </w:rPr>
            </w:pPr>
            <w:r w:rsidRPr="009B0BCA">
              <w:rPr>
                <w:sz w:val="18"/>
                <w:szCs w:val="18"/>
              </w:rPr>
              <w:t>Black coal</w:t>
            </w:r>
          </w:p>
        </w:tc>
        <w:tc>
          <w:tcPr>
            <w:tcW w:w="1005" w:type="dxa"/>
            <w:tcBorders>
              <w:top w:val="nil"/>
              <w:left w:val="nil"/>
              <w:bottom w:val="nil"/>
              <w:right w:val="nil"/>
            </w:tcBorders>
            <w:shd w:val="clear" w:color="000000" w:fill="CAE7F3"/>
            <w:noWrap/>
            <w:hideMark/>
          </w:tcPr>
          <w:p w14:paraId="44D49CD6" w14:textId="21968B36"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118,272</w:t>
            </w:r>
          </w:p>
        </w:tc>
        <w:tc>
          <w:tcPr>
            <w:tcW w:w="992" w:type="dxa"/>
            <w:gridSpan w:val="2"/>
            <w:tcBorders>
              <w:top w:val="nil"/>
              <w:left w:val="nil"/>
              <w:bottom w:val="nil"/>
              <w:right w:val="nil"/>
            </w:tcBorders>
            <w:shd w:val="clear" w:color="000000" w:fill="CAE7F3"/>
            <w:noWrap/>
            <w:hideMark/>
          </w:tcPr>
          <w:p w14:paraId="2B91A42C" w14:textId="4377EB06"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45.8</w:t>
            </w:r>
          </w:p>
        </w:tc>
        <w:tc>
          <w:tcPr>
            <w:tcW w:w="278" w:type="dxa"/>
            <w:tcBorders>
              <w:top w:val="nil"/>
              <w:left w:val="nil"/>
              <w:bottom w:val="nil"/>
              <w:right w:val="nil"/>
            </w:tcBorders>
            <w:shd w:val="clear" w:color="000000" w:fill="CAE7F3"/>
            <w:noWrap/>
            <w:hideMark/>
          </w:tcPr>
          <w:p w14:paraId="0D53EB14" w14:textId="7777777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hideMark/>
          </w:tcPr>
          <w:p w14:paraId="676E0F7E" w14:textId="51C54262"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3.5</w:t>
            </w:r>
          </w:p>
        </w:tc>
        <w:tc>
          <w:tcPr>
            <w:tcW w:w="1077" w:type="dxa"/>
            <w:tcBorders>
              <w:top w:val="nil"/>
              <w:left w:val="nil"/>
              <w:bottom w:val="nil"/>
              <w:right w:val="nil"/>
            </w:tcBorders>
            <w:shd w:val="clear" w:color="000000" w:fill="CAE7F3"/>
            <w:noWrap/>
            <w:hideMark/>
          </w:tcPr>
          <w:p w14:paraId="04553B94" w14:textId="1DC49B16"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-1.0</w:t>
            </w:r>
          </w:p>
        </w:tc>
      </w:tr>
      <w:tr w:rsidR="009B0BCA" w:rsidRPr="001F1F3C" w14:paraId="3F3AFFC2" w14:textId="77777777" w:rsidTr="00FA26DB">
        <w:trPr>
          <w:trHeight w:val="294"/>
        </w:trPr>
        <w:tc>
          <w:tcPr>
            <w:tcW w:w="2539" w:type="dxa"/>
            <w:gridSpan w:val="2"/>
            <w:tcBorders>
              <w:top w:val="nil"/>
              <w:left w:val="nil"/>
              <w:bottom w:val="nil"/>
              <w:right w:val="nil"/>
            </w:tcBorders>
            <w:shd w:val="clear" w:color="000000" w:fill="CAE7F3"/>
            <w:noWrap/>
            <w:hideMark/>
          </w:tcPr>
          <w:p w14:paraId="7DD89E3A" w14:textId="7F12EF88" w:rsidR="009B0BCA" w:rsidRPr="009B0BCA" w:rsidRDefault="009B0BCA" w:rsidP="009B0BCA">
            <w:pPr>
              <w:spacing w:after="0" w:line="360" w:lineRule="auto"/>
              <w:ind w:left="0"/>
              <w:jc w:val="left"/>
              <w:rPr>
                <w:rFonts w:asciiTheme="minorHAnsi" w:eastAsia="Times New Roman" w:hAnsiTheme="minorHAnsi" w:cstheme="minorHAnsi"/>
                <w:sz w:val="18"/>
                <w:szCs w:val="18"/>
                <w:lang w:eastAsia="en-AU"/>
              </w:rPr>
            </w:pPr>
            <w:r w:rsidRPr="009B0BCA">
              <w:rPr>
                <w:sz w:val="18"/>
                <w:szCs w:val="18"/>
              </w:rPr>
              <w:t>Brown coal</w:t>
            </w:r>
          </w:p>
        </w:tc>
        <w:tc>
          <w:tcPr>
            <w:tcW w:w="1005" w:type="dxa"/>
            <w:tcBorders>
              <w:top w:val="nil"/>
              <w:left w:val="nil"/>
              <w:bottom w:val="nil"/>
              <w:right w:val="nil"/>
            </w:tcBorders>
            <w:shd w:val="clear" w:color="000000" w:fill="CAE7F3"/>
            <w:noWrap/>
            <w:hideMark/>
          </w:tcPr>
          <w:p w14:paraId="7A3AFFBE" w14:textId="7C17D51F"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43,558</w:t>
            </w:r>
          </w:p>
        </w:tc>
        <w:tc>
          <w:tcPr>
            <w:tcW w:w="992" w:type="dxa"/>
            <w:gridSpan w:val="2"/>
            <w:tcBorders>
              <w:top w:val="nil"/>
              <w:left w:val="nil"/>
              <w:bottom w:val="nil"/>
              <w:right w:val="nil"/>
            </w:tcBorders>
            <w:shd w:val="clear" w:color="000000" w:fill="CAE7F3"/>
            <w:noWrap/>
            <w:hideMark/>
          </w:tcPr>
          <w:p w14:paraId="447212C9" w14:textId="0189AE92"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16.9</w:t>
            </w:r>
          </w:p>
        </w:tc>
        <w:tc>
          <w:tcPr>
            <w:tcW w:w="278" w:type="dxa"/>
            <w:tcBorders>
              <w:top w:val="nil"/>
              <w:left w:val="nil"/>
              <w:bottom w:val="nil"/>
              <w:right w:val="nil"/>
            </w:tcBorders>
            <w:shd w:val="clear" w:color="000000" w:fill="CAE7F3"/>
            <w:noWrap/>
            <w:hideMark/>
          </w:tcPr>
          <w:p w14:paraId="67477F1C" w14:textId="7777777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hideMark/>
          </w:tcPr>
          <w:p w14:paraId="3CE44A0F" w14:textId="43A2ADDC"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-10.7</w:t>
            </w:r>
          </w:p>
        </w:tc>
        <w:tc>
          <w:tcPr>
            <w:tcW w:w="1077" w:type="dxa"/>
            <w:tcBorders>
              <w:top w:val="nil"/>
              <w:left w:val="nil"/>
              <w:bottom w:val="nil"/>
              <w:right w:val="nil"/>
            </w:tcBorders>
            <w:shd w:val="clear" w:color="000000" w:fill="CAE7F3"/>
            <w:noWrap/>
            <w:hideMark/>
          </w:tcPr>
          <w:p w14:paraId="1CFA0914" w14:textId="11C75FB4"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-2.5</w:t>
            </w:r>
          </w:p>
        </w:tc>
      </w:tr>
      <w:tr w:rsidR="009B0BCA" w:rsidRPr="001F1F3C" w14:paraId="68C768C3" w14:textId="77777777" w:rsidTr="00FA26DB">
        <w:trPr>
          <w:trHeight w:val="294"/>
        </w:trPr>
        <w:tc>
          <w:tcPr>
            <w:tcW w:w="2539" w:type="dxa"/>
            <w:gridSpan w:val="2"/>
            <w:tcBorders>
              <w:top w:val="nil"/>
              <w:left w:val="nil"/>
              <w:bottom w:val="nil"/>
              <w:right w:val="nil"/>
            </w:tcBorders>
            <w:shd w:val="clear" w:color="000000" w:fill="CAE7F3"/>
            <w:noWrap/>
            <w:hideMark/>
          </w:tcPr>
          <w:p w14:paraId="557297DB" w14:textId="63C66994" w:rsidR="009B0BCA" w:rsidRPr="009B0BCA" w:rsidRDefault="009B0BCA" w:rsidP="009B0BCA">
            <w:pPr>
              <w:spacing w:after="0" w:line="360" w:lineRule="auto"/>
              <w:ind w:left="0"/>
              <w:jc w:val="left"/>
              <w:rPr>
                <w:rFonts w:asciiTheme="minorHAnsi" w:eastAsia="Times New Roman" w:hAnsiTheme="minorHAnsi" w:cstheme="minorHAnsi"/>
                <w:sz w:val="18"/>
                <w:szCs w:val="18"/>
                <w:lang w:eastAsia="en-AU"/>
              </w:rPr>
            </w:pPr>
            <w:r w:rsidRPr="009B0BCA">
              <w:rPr>
                <w:sz w:val="18"/>
                <w:szCs w:val="18"/>
              </w:rPr>
              <w:t>Gas</w:t>
            </w:r>
          </w:p>
        </w:tc>
        <w:tc>
          <w:tcPr>
            <w:tcW w:w="1005" w:type="dxa"/>
            <w:tcBorders>
              <w:top w:val="nil"/>
              <w:left w:val="nil"/>
              <w:bottom w:val="nil"/>
              <w:right w:val="nil"/>
            </w:tcBorders>
            <w:shd w:val="clear" w:color="000000" w:fill="CAE7F3"/>
            <w:noWrap/>
            <w:hideMark/>
          </w:tcPr>
          <w:p w14:paraId="2838995B" w14:textId="545FFA88"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50,460</w:t>
            </w:r>
          </w:p>
        </w:tc>
        <w:tc>
          <w:tcPr>
            <w:tcW w:w="992" w:type="dxa"/>
            <w:gridSpan w:val="2"/>
            <w:tcBorders>
              <w:top w:val="nil"/>
              <w:left w:val="nil"/>
              <w:bottom w:val="nil"/>
              <w:right w:val="nil"/>
            </w:tcBorders>
            <w:shd w:val="clear" w:color="000000" w:fill="CAE7F3"/>
            <w:noWrap/>
            <w:hideMark/>
          </w:tcPr>
          <w:p w14:paraId="1E600802" w14:textId="04C9C7B8"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19.6</w:t>
            </w:r>
          </w:p>
        </w:tc>
        <w:tc>
          <w:tcPr>
            <w:tcW w:w="278" w:type="dxa"/>
            <w:tcBorders>
              <w:top w:val="nil"/>
              <w:left w:val="nil"/>
              <w:bottom w:val="nil"/>
              <w:right w:val="nil"/>
            </w:tcBorders>
            <w:shd w:val="clear" w:color="000000" w:fill="CAE7F3"/>
            <w:noWrap/>
            <w:hideMark/>
          </w:tcPr>
          <w:p w14:paraId="6520074C" w14:textId="7777777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hideMark/>
          </w:tcPr>
          <w:p w14:paraId="18C4CEE5" w14:textId="26F54E45"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-0.2</w:t>
            </w:r>
          </w:p>
        </w:tc>
        <w:tc>
          <w:tcPr>
            <w:tcW w:w="1077" w:type="dxa"/>
            <w:tcBorders>
              <w:top w:val="nil"/>
              <w:left w:val="nil"/>
              <w:bottom w:val="nil"/>
              <w:right w:val="nil"/>
            </w:tcBorders>
            <w:shd w:val="clear" w:color="000000" w:fill="CAE7F3"/>
            <w:noWrap/>
            <w:hideMark/>
          </w:tcPr>
          <w:p w14:paraId="5141EA54" w14:textId="43BBE8AF"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4.2</w:t>
            </w:r>
          </w:p>
        </w:tc>
      </w:tr>
      <w:tr w:rsidR="009B0BCA" w:rsidRPr="001F1F3C" w14:paraId="37402DCA" w14:textId="77777777" w:rsidTr="00FA26DB">
        <w:trPr>
          <w:trHeight w:val="294"/>
        </w:trPr>
        <w:tc>
          <w:tcPr>
            <w:tcW w:w="2539" w:type="dxa"/>
            <w:gridSpan w:val="2"/>
            <w:tcBorders>
              <w:top w:val="nil"/>
              <w:left w:val="nil"/>
              <w:bottom w:val="nil"/>
              <w:right w:val="nil"/>
            </w:tcBorders>
            <w:shd w:val="clear" w:color="000000" w:fill="CAE7F3"/>
            <w:noWrap/>
            <w:hideMark/>
          </w:tcPr>
          <w:p w14:paraId="450AEF49" w14:textId="430C248C" w:rsidR="009B0BCA" w:rsidRPr="009B0BCA" w:rsidRDefault="009B0BCA" w:rsidP="009B0BCA">
            <w:pPr>
              <w:spacing w:after="0" w:line="360" w:lineRule="auto"/>
              <w:ind w:left="0"/>
              <w:jc w:val="left"/>
              <w:rPr>
                <w:rFonts w:asciiTheme="minorHAnsi" w:eastAsia="Times New Roman" w:hAnsiTheme="minorHAnsi" w:cstheme="minorHAnsi"/>
                <w:sz w:val="18"/>
                <w:szCs w:val="18"/>
                <w:lang w:eastAsia="en-AU"/>
              </w:rPr>
            </w:pPr>
            <w:r w:rsidRPr="009B0BCA">
              <w:rPr>
                <w:sz w:val="18"/>
                <w:szCs w:val="18"/>
              </w:rPr>
              <w:t>Oil</w:t>
            </w:r>
          </w:p>
        </w:tc>
        <w:tc>
          <w:tcPr>
            <w:tcW w:w="1005" w:type="dxa"/>
            <w:tcBorders>
              <w:top w:val="nil"/>
              <w:left w:val="nil"/>
              <w:bottom w:val="nil"/>
              <w:right w:val="nil"/>
            </w:tcBorders>
            <w:shd w:val="clear" w:color="000000" w:fill="CAE7F3"/>
            <w:noWrap/>
            <w:hideMark/>
          </w:tcPr>
          <w:p w14:paraId="4F8A9351" w14:textId="7151005B"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5,273</w:t>
            </w:r>
          </w:p>
        </w:tc>
        <w:tc>
          <w:tcPr>
            <w:tcW w:w="992" w:type="dxa"/>
            <w:gridSpan w:val="2"/>
            <w:tcBorders>
              <w:top w:val="nil"/>
              <w:left w:val="nil"/>
              <w:bottom w:val="nil"/>
              <w:right w:val="nil"/>
            </w:tcBorders>
            <w:shd w:val="clear" w:color="000000" w:fill="CAE7F3"/>
            <w:noWrap/>
            <w:hideMark/>
          </w:tcPr>
          <w:p w14:paraId="1242756D" w14:textId="29A1005A"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2.0</w:t>
            </w:r>
          </w:p>
        </w:tc>
        <w:tc>
          <w:tcPr>
            <w:tcW w:w="278" w:type="dxa"/>
            <w:tcBorders>
              <w:top w:val="nil"/>
              <w:left w:val="nil"/>
              <w:bottom w:val="nil"/>
              <w:right w:val="nil"/>
            </w:tcBorders>
            <w:shd w:val="clear" w:color="000000" w:fill="CAE7F3"/>
            <w:noWrap/>
            <w:hideMark/>
          </w:tcPr>
          <w:p w14:paraId="1A9F98C3" w14:textId="7777777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hideMark/>
          </w:tcPr>
          <w:p w14:paraId="77B43339" w14:textId="678986D4"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-6.8</w:t>
            </w:r>
          </w:p>
        </w:tc>
        <w:tc>
          <w:tcPr>
            <w:tcW w:w="1077" w:type="dxa"/>
            <w:tcBorders>
              <w:top w:val="nil"/>
              <w:left w:val="nil"/>
              <w:bottom w:val="nil"/>
              <w:right w:val="nil"/>
            </w:tcBorders>
            <w:shd w:val="clear" w:color="000000" w:fill="CAE7F3"/>
            <w:noWrap/>
            <w:hideMark/>
          </w:tcPr>
          <w:p w14:paraId="571E0F5C" w14:textId="6B2EAC25"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3.0</w:t>
            </w:r>
          </w:p>
        </w:tc>
      </w:tr>
      <w:tr w:rsidR="009B0BCA" w:rsidRPr="00A92D53" w14:paraId="16CAC7C2" w14:textId="77777777" w:rsidTr="00FA26DB">
        <w:trPr>
          <w:trHeight w:val="294"/>
        </w:trPr>
        <w:tc>
          <w:tcPr>
            <w:tcW w:w="2539" w:type="dxa"/>
            <w:gridSpan w:val="2"/>
            <w:tcBorders>
              <w:top w:val="nil"/>
              <w:left w:val="nil"/>
              <w:bottom w:val="nil"/>
              <w:right w:val="nil"/>
            </w:tcBorders>
            <w:shd w:val="clear" w:color="000000" w:fill="CAE7F3"/>
            <w:noWrap/>
            <w:hideMark/>
          </w:tcPr>
          <w:p w14:paraId="34297168" w14:textId="1F9893F9" w:rsidR="009B0BCA" w:rsidRPr="009B0BCA" w:rsidRDefault="009B0BCA" w:rsidP="009B0BCA">
            <w:pPr>
              <w:spacing w:after="0" w:line="360" w:lineRule="auto"/>
              <w:ind w:left="0"/>
              <w:jc w:val="left"/>
              <w:rPr>
                <w:rFonts w:asciiTheme="minorHAnsi" w:eastAsia="Times New Roman" w:hAnsiTheme="minorHAnsi" w:cstheme="minorHAnsi"/>
                <w:b/>
                <w:bCs/>
                <w:sz w:val="18"/>
                <w:szCs w:val="18"/>
                <w:lang w:eastAsia="en-AU"/>
              </w:rPr>
            </w:pPr>
            <w:r w:rsidRPr="009B0BCA">
              <w:rPr>
                <w:b/>
                <w:sz w:val="18"/>
                <w:szCs w:val="18"/>
              </w:rPr>
              <w:t xml:space="preserve">Renewables </w:t>
            </w:r>
          </w:p>
        </w:tc>
        <w:tc>
          <w:tcPr>
            <w:tcW w:w="1005" w:type="dxa"/>
            <w:tcBorders>
              <w:top w:val="nil"/>
              <w:left w:val="nil"/>
              <w:bottom w:val="nil"/>
              <w:right w:val="nil"/>
            </w:tcBorders>
            <w:shd w:val="clear" w:color="000000" w:fill="CAE7F3"/>
            <w:noWrap/>
            <w:hideMark/>
          </w:tcPr>
          <w:p w14:paraId="34F06026" w14:textId="0B480BAB" w:rsidR="009B0BCA" w:rsidRPr="009B0BCA" w:rsidRDefault="009B0BCA" w:rsidP="009B0BCA">
            <w:pPr>
              <w:spacing w:after="0" w:line="360" w:lineRule="auto"/>
              <w:ind w:left="0"/>
              <w:jc w:val="right"/>
              <w:rPr>
                <w:rFonts w:asciiTheme="minorHAnsi" w:eastAsia="Times New Roman" w:hAnsiTheme="minorHAnsi" w:cstheme="minorHAnsi"/>
                <w:b/>
                <w:bCs/>
                <w:color w:val="595A5B" w:themeColor="accent5"/>
                <w:sz w:val="18"/>
                <w:szCs w:val="18"/>
                <w:lang w:eastAsia="en-AU"/>
              </w:rPr>
            </w:pPr>
            <w:r w:rsidRPr="009B0BCA">
              <w:rPr>
                <w:b/>
                <w:sz w:val="18"/>
                <w:szCs w:val="18"/>
              </w:rPr>
              <w:t>40,455</w:t>
            </w:r>
          </w:p>
        </w:tc>
        <w:tc>
          <w:tcPr>
            <w:tcW w:w="992" w:type="dxa"/>
            <w:gridSpan w:val="2"/>
            <w:tcBorders>
              <w:top w:val="nil"/>
              <w:left w:val="nil"/>
              <w:bottom w:val="nil"/>
              <w:right w:val="nil"/>
            </w:tcBorders>
            <w:shd w:val="clear" w:color="000000" w:fill="CAE7F3"/>
            <w:noWrap/>
            <w:hideMark/>
          </w:tcPr>
          <w:p w14:paraId="04A56295" w14:textId="6B283132" w:rsidR="009B0BCA" w:rsidRPr="009B0BCA" w:rsidRDefault="009B0BCA" w:rsidP="009B0BCA">
            <w:pPr>
              <w:spacing w:after="0" w:line="360" w:lineRule="auto"/>
              <w:ind w:left="0"/>
              <w:jc w:val="right"/>
              <w:rPr>
                <w:rFonts w:asciiTheme="minorHAnsi" w:eastAsia="Times New Roman" w:hAnsiTheme="minorHAnsi" w:cstheme="minorHAnsi"/>
                <w:b/>
                <w:bCs/>
                <w:color w:val="595A5B" w:themeColor="accent5"/>
                <w:sz w:val="18"/>
                <w:szCs w:val="18"/>
                <w:lang w:eastAsia="en-AU"/>
              </w:rPr>
            </w:pPr>
            <w:r w:rsidRPr="009B0BCA">
              <w:rPr>
                <w:b/>
                <w:sz w:val="18"/>
                <w:szCs w:val="18"/>
              </w:rPr>
              <w:t>15.7</w:t>
            </w:r>
          </w:p>
        </w:tc>
        <w:tc>
          <w:tcPr>
            <w:tcW w:w="278" w:type="dxa"/>
            <w:tcBorders>
              <w:top w:val="nil"/>
              <w:left w:val="nil"/>
              <w:bottom w:val="nil"/>
              <w:right w:val="nil"/>
            </w:tcBorders>
            <w:shd w:val="clear" w:color="000000" w:fill="CAE7F3"/>
            <w:noWrap/>
            <w:hideMark/>
          </w:tcPr>
          <w:p w14:paraId="57C39A43" w14:textId="77777777" w:rsidR="009B0BCA" w:rsidRPr="009B0BCA" w:rsidRDefault="009B0BCA" w:rsidP="009B0BCA">
            <w:pPr>
              <w:spacing w:after="0" w:line="360" w:lineRule="auto"/>
              <w:ind w:left="0"/>
              <w:jc w:val="right"/>
              <w:rPr>
                <w:rFonts w:asciiTheme="minorHAnsi" w:eastAsia="Times New Roman" w:hAnsiTheme="minorHAnsi" w:cstheme="minorHAnsi"/>
                <w:b/>
                <w:bCs/>
                <w:color w:val="595A5B" w:themeColor="accent5"/>
                <w:sz w:val="18"/>
                <w:szCs w:val="18"/>
                <w:lang w:eastAsia="en-AU"/>
              </w:rPr>
            </w:pPr>
          </w:p>
        </w:tc>
        <w:tc>
          <w:tcPr>
            <w:tcW w:w="1055" w:type="dxa"/>
            <w:tcBorders>
              <w:top w:val="nil"/>
              <w:left w:val="nil"/>
              <w:bottom w:val="nil"/>
              <w:right w:val="nil"/>
            </w:tcBorders>
            <w:shd w:val="clear" w:color="000000" w:fill="CAE7F3"/>
            <w:noWrap/>
            <w:hideMark/>
          </w:tcPr>
          <w:p w14:paraId="0601D5A9" w14:textId="5A07A660" w:rsidR="009B0BCA" w:rsidRPr="009B0BCA" w:rsidRDefault="009B0BCA" w:rsidP="009B0BCA">
            <w:pPr>
              <w:spacing w:after="0" w:line="360" w:lineRule="auto"/>
              <w:ind w:left="0"/>
              <w:jc w:val="right"/>
              <w:rPr>
                <w:rFonts w:asciiTheme="minorHAnsi" w:eastAsia="Times New Roman" w:hAnsiTheme="minorHAnsi" w:cstheme="minorHAnsi"/>
                <w:b/>
                <w:bCs/>
                <w:color w:val="595A5B" w:themeColor="accent5"/>
                <w:sz w:val="18"/>
                <w:szCs w:val="18"/>
                <w:lang w:eastAsia="en-AU"/>
              </w:rPr>
            </w:pPr>
            <w:r w:rsidRPr="009B0BCA">
              <w:rPr>
                <w:b/>
                <w:sz w:val="18"/>
                <w:szCs w:val="18"/>
              </w:rPr>
              <w:t>6.1</w:t>
            </w:r>
          </w:p>
        </w:tc>
        <w:tc>
          <w:tcPr>
            <w:tcW w:w="1077" w:type="dxa"/>
            <w:tcBorders>
              <w:top w:val="nil"/>
              <w:left w:val="nil"/>
              <w:bottom w:val="nil"/>
              <w:right w:val="nil"/>
            </w:tcBorders>
            <w:shd w:val="clear" w:color="000000" w:fill="CAE7F3"/>
            <w:noWrap/>
            <w:hideMark/>
          </w:tcPr>
          <w:p w14:paraId="0F6E554B" w14:textId="32C8AF02" w:rsidR="009B0BCA" w:rsidRPr="009B0BCA" w:rsidRDefault="009B0BCA" w:rsidP="009B0BCA">
            <w:pPr>
              <w:spacing w:after="0" w:line="360" w:lineRule="auto"/>
              <w:ind w:left="0"/>
              <w:jc w:val="right"/>
              <w:rPr>
                <w:rFonts w:asciiTheme="minorHAnsi" w:eastAsia="Times New Roman" w:hAnsiTheme="minorHAnsi" w:cstheme="minorHAnsi"/>
                <w:b/>
                <w:bCs/>
                <w:color w:val="595A5B" w:themeColor="accent5"/>
                <w:sz w:val="18"/>
                <w:szCs w:val="18"/>
                <w:lang w:eastAsia="en-AU"/>
              </w:rPr>
            </w:pPr>
            <w:r w:rsidRPr="009B0BCA">
              <w:rPr>
                <w:b/>
                <w:sz w:val="18"/>
                <w:szCs w:val="18"/>
              </w:rPr>
              <w:t>8.2</w:t>
            </w:r>
          </w:p>
        </w:tc>
      </w:tr>
      <w:tr w:rsidR="009B0BCA" w:rsidRPr="001F1F3C" w14:paraId="4DA6A1CF" w14:textId="77777777" w:rsidTr="00FA26DB">
        <w:trPr>
          <w:trHeight w:val="294"/>
        </w:trPr>
        <w:tc>
          <w:tcPr>
            <w:tcW w:w="2539" w:type="dxa"/>
            <w:gridSpan w:val="2"/>
            <w:tcBorders>
              <w:top w:val="nil"/>
              <w:left w:val="nil"/>
              <w:bottom w:val="nil"/>
              <w:right w:val="nil"/>
            </w:tcBorders>
            <w:shd w:val="clear" w:color="000000" w:fill="CAE7F3"/>
            <w:noWrap/>
            <w:hideMark/>
          </w:tcPr>
          <w:p w14:paraId="7C5E2913" w14:textId="7D4EB5F7" w:rsidR="009B0BCA" w:rsidRPr="009B0BCA" w:rsidRDefault="009B0BCA" w:rsidP="009B0BCA">
            <w:pPr>
              <w:spacing w:after="0" w:line="360" w:lineRule="auto"/>
              <w:ind w:left="0"/>
              <w:jc w:val="left"/>
              <w:rPr>
                <w:rFonts w:asciiTheme="minorHAnsi" w:eastAsia="Times New Roman" w:hAnsiTheme="minorHAnsi" w:cstheme="minorHAnsi"/>
                <w:sz w:val="18"/>
                <w:szCs w:val="18"/>
                <w:lang w:eastAsia="en-AU"/>
              </w:rPr>
            </w:pPr>
            <w:r w:rsidRPr="009B0BCA">
              <w:rPr>
                <w:sz w:val="18"/>
                <w:szCs w:val="18"/>
              </w:rPr>
              <w:t xml:space="preserve">Hydro </w:t>
            </w:r>
          </w:p>
        </w:tc>
        <w:tc>
          <w:tcPr>
            <w:tcW w:w="1005" w:type="dxa"/>
            <w:tcBorders>
              <w:top w:val="nil"/>
              <w:left w:val="nil"/>
              <w:bottom w:val="nil"/>
              <w:right w:val="nil"/>
            </w:tcBorders>
            <w:shd w:val="clear" w:color="000000" w:fill="CAE7F3"/>
            <w:noWrap/>
            <w:hideMark/>
          </w:tcPr>
          <w:p w14:paraId="435AC8AB" w14:textId="6F8EB559"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16,285</w:t>
            </w:r>
          </w:p>
        </w:tc>
        <w:tc>
          <w:tcPr>
            <w:tcW w:w="992" w:type="dxa"/>
            <w:gridSpan w:val="2"/>
            <w:tcBorders>
              <w:top w:val="nil"/>
              <w:left w:val="nil"/>
              <w:bottom w:val="nil"/>
              <w:right w:val="nil"/>
            </w:tcBorders>
            <w:shd w:val="clear" w:color="000000" w:fill="CAE7F3"/>
            <w:noWrap/>
            <w:hideMark/>
          </w:tcPr>
          <w:p w14:paraId="0CD13140" w14:textId="589FA5E6"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6.3</w:t>
            </w:r>
          </w:p>
        </w:tc>
        <w:tc>
          <w:tcPr>
            <w:tcW w:w="278" w:type="dxa"/>
            <w:tcBorders>
              <w:top w:val="nil"/>
              <w:left w:val="nil"/>
              <w:bottom w:val="nil"/>
              <w:right w:val="nil"/>
            </w:tcBorders>
            <w:shd w:val="clear" w:color="000000" w:fill="CAE7F3"/>
            <w:noWrap/>
            <w:hideMark/>
          </w:tcPr>
          <w:p w14:paraId="505B11A8" w14:textId="7777777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hideMark/>
          </w:tcPr>
          <w:p w14:paraId="50C136B8" w14:textId="114D6DE8"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6.3</w:t>
            </w:r>
          </w:p>
        </w:tc>
        <w:tc>
          <w:tcPr>
            <w:tcW w:w="1077" w:type="dxa"/>
            <w:tcBorders>
              <w:top w:val="nil"/>
              <w:left w:val="nil"/>
              <w:bottom w:val="nil"/>
              <w:right w:val="nil"/>
            </w:tcBorders>
            <w:shd w:val="clear" w:color="000000" w:fill="CAE7F3"/>
            <w:noWrap/>
            <w:hideMark/>
          </w:tcPr>
          <w:p w14:paraId="1F5CFEC6" w14:textId="197DF25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3.4</w:t>
            </w:r>
          </w:p>
        </w:tc>
      </w:tr>
      <w:tr w:rsidR="009B0BCA" w:rsidRPr="001F1F3C" w14:paraId="6EBC2A5E" w14:textId="77777777" w:rsidTr="00FA26DB">
        <w:trPr>
          <w:trHeight w:val="294"/>
        </w:trPr>
        <w:tc>
          <w:tcPr>
            <w:tcW w:w="2539" w:type="dxa"/>
            <w:gridSpan w:val="2"/>
            <w:tcBorders>
              <w:top w:val="nil"/>
              <w:left w:val="nil"/>
              <w:bottom w:val="nil"/>
              <w:right w:val="nil"/>
            </w:tcBorders>
            <w:shd w:val="clear" w:color="000000" w:fill="CAE7F3"/>
            <w:noWrap/>
            <w:hideMark/>
          </w:tcPr>
          <w:p w14:paraId="0C9A5EAA" w14:textId="55CD823A" w:rsidR="009B0BCA" w:rsidRPr="009B0BCA" w:rsidRDefault="009B0BCA" w:rsidP="009B0BCA">
            <w:pPr>
              <w:spacing w:after="0" w:line="360" w:lineRule="auto"/>
              <w:ind w:left="0"/>
              <w:jc w:val="left"/>
              <w:rPr>
                <w:rFonts w:asciiTheme="minorHAnsi" w:eastAsia="Times New Roman" w:hAnsiTheme="minorHAnsi" w:cstheme="minorHAnsi"/>
                <w:sz w:val="18"/>
                <w:szCs w:val="18"/>
                <w:lang w:eastAsia="en-AU"/>
              </w:rPr>
            </w:pPr>
            <w:r w:rsidRPr="009B0BCA">
              <w:rPr>
                <w:sz w:val="18"/>
                <w:szCs w:val="18"/>
              </w:rPr>
              <w:t>Wind</w:t>
            </w:r>
          </w:p>
        </w:tc>
        <w:tc>
          <w:tcPr>
            <w:tcW w:w="1005" w:type="dxa"/>
            <w:tcBorders>
              <w:top w:val="nil"/>
              <w:left w:val="nil"/>
              <w:bottom w:val="nil"/>
              <w:right w:val="nil"/>
            </w:tcBorders>
            <w:shd w:val="clear" w:color="000000" w:fill="CAE7F3"/>
            <w:noWrap/>
            <w:hideMark/>
          </w:tcPr>
          <w:p w14:paraId="192E58C8" w14:textId="3BD3994C"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12,597</w:t>
            </w:r>
          </w:p>
        </w:tc>
        <w:tc>
          <w:tcPr>
            <w:tcW w:w="992" w:type="dxa"/>
            <w:gridSpan w:val="2"/>
            <w:tcBorders>
              <w:top w:val="nil"/>
              <w:left w:val="nil"/>
              <w:bottom w:val="nil"/>
              <w:right w:val="nil"/>
            </w:tcBorders>
            <w:shd w:val="clear" w:color="000000" w:fill="CAE7F3"/>
            <w:noWrap/>
            <w:hideMark/>
          </w:tcPr>
          <w:p w14:paraId="2210ACE7" w14:textId="634EE03E"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4.9</w:t>
            </w:r>
          </w:p>
        </w:tc>
        <w:tc>
          <w:tcPr>
            <w:tcW w:w="278" w:type="dxa"/>
            <w:tcBorders>
              <w:top w:val="nil"/>
              <w:left w:val="nil"/>
              <w:bottom w:val="nil"/>
              <w:right w:val="nil"/>
            </w:tcBorders>
            <w:shd w:val="clear" w:color="000000" w:fill="CAE7F3"/>
            <w:noWrap/>
            <w:hideMark/>
          </w:tcPr>
          <w:p w14:paraId="74C5CEE4" w14:textId="7777777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hideMark/>
          </w:tcPr>
          <w:p w14:paraId="639EEAC6" w14:textId="117AE210"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3.3</w:t>
            </w:r>
          </w:p>
        </w:tc>
        <w:tc>
          <w:tcPr>
            <w:tcW w:w="1077" w:type="dxa"/>
            <w:tcBorders>
              <w:top w:val="nil"/>
              <w:left w:val="nil"/>
              <w:bottom w:val="nil"/>
              <w:right w:val="nil"/>
            </w:tcBorders>
            <w:shd w:val="clear" w:color="000000" w:fill="CAE7F3"/>
            <w:noWrap/>
            <w:hideMark/>
          </w:tcPr>
          <w:p w14:paraId="62A1A823" w14:textId="3CE777D5"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16.9</w:t>
            </w:r>
          </w:p>
        </w:tc>
      </w:tr>
      <w:tr w:rsidR="009B0BCA" w:rsidRPr="001F1F3C" w14:paraId="33D66AE3" w14:textId="77777777" w:rsidTr="00FA26DB">
        <w:trPr>
          <w:trHeight w:val="294"/>
        </w:trPr>
        <w:tc>
          <w:tcPr>
            <w:tcW w:w="2539" w:type="dxa"/>
            <w:gridSpan w:val="2"/>
            <w:tcBorders>
              <w:top w:val="nil"/>
              <w:left w:val="nil"/>
              <w:bottom w:val="nil"/>
              <w:right w:val="nil"/>
            </w:tcBorders>
            <w:shd w:val="clear" w:color="000000" w:fill="CAE7F3"/>
            <w:noWrap/>
            <w:hideMark/>
          </w:tcPr>
          <w:p w14:paraId="43B24851" w14:textId="1C64FF12" w:rsidR="009B0BCA" w:rsidRPr="009B0BCA" w:rsidRDefault="009B0BCA" w:rsidP="009B0BCA">
            <w:pPr>
              <w:spacing w:after="0" w:line="360" w:lineRule="auto"/>
              <w:ind w:left="0"/>
              <w:jc w:val="left"/>
              <w:rPr>
                <w:rFonts w:asciiTheme="minorHAnsi" w:eastAsia="Times New Roman" w:hAnsiTheme="minorHAnsi" w:cstheme="minorHAnsi"/>
                <w:sz w:val="18"/>
                <w:szCs w:val="18"/>
                <w:lang w:eastAsia="en-AU"/>
              </w:rPr>
            </w:pPr>
            <w:r w:rsidRPr="009B0BCA">
              <w:rPr>
                <w:sz w:val="18"/>
                <w:szCs w:val="18"/>
              </w:rPr>
              <w:t>Bioenergy</w:t>
            </w:r>
          </w:p>
        </w:tc>
        <w:tc>
          <w:tcPr>
            <w:tcW w:w="1005" w:type="dxa"/>
            <w:tcBorders>
              <w:top w:val="nil"/>
              <w:left w:val="nil"/>
              <w:bottom w:val="nil"/>
              <w:right w:val="nil"/>
            </w:tcBorders>
            <w:shd w:val="clear" w:color="000000" w:fill="CAE7F3"/>
            <w:noWrap/>
            <w:hideMark/>
          </w:tcPr>
          <w:p w14:paraId="298D221F" w14:textId="58440E80"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3,501</w:t>
            </w:r>
          </w:p>
        </w:tc>
        <w:tc>
          <w:tcPr>
            <w:tcW w:w="992" w:type="dxa"/>
            <w:gridSpan w:val="2"/>
            <w:tcBorders>
              <w:top w:val="nil"/>
              <w:left w:val="nil"/>
              <w:bottom w:val="nil"/>
              <w:right w:val="nil"/>
            </w:tcBorders>
            <w:shd w:val="clear" w:color="000000" w:fill="CAE7F3"/>
            <w:noWrap/>
            <w:hideMark/>
          </w:tcPr>
          <w:p w14:paraId="2662B8CF" w14:textId="3507FD66"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1.4</w:t>
            </w:r>
          </w:p>
        </w:tc>
        <w:tc>
          <w:tcPr>
            <w:tcW w:w="278" w:type="dxa"/>
            <w:tcBorders>
              <w:top w:val="nil"/>
              <w:left w:val="nil"/>
              <w:bottom w:val="nil"/>
              <w:right w:val="nil"/>
            </w:tcBorders>
            <w:shd w:val="clear" w:color="000000" w:fill="CAE7F3"/>
            <w:noWrap/>
            <w:hideMark/>
          </w:tcPr>
          <w:p w14:paraId="3458A3DC" w14:textId="7777777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hideMark/>
          </w:tcPr>
          <w:p w14:paraId="4792ED69" w14:textId="6C293161"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-7.6</w:t>
            </w:r>
          </w:p>
        </w:tc>
        <w:tc>
          <w:tcPr>
            <w:tcW w:w="1077" w:type="dxa"/>
            <w:tcBorders>
              <w:top w:val="nil"/>
              <w:left w:val="nil"/>
              <w:bottom w:val="nil"/>
              <w:right w:val="nil"/>
            </w:tcBorders>
            <w:shd w:val="clear" w:color="000000" w:fill="CAE7F3"/>
            <w:noWrap/>
            <w:hideMark/>
          </w:tcPr>
          <w:p w14:paraId="6AAAC1B7" w14:textId="6E46C6D0"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-3.0</w:t>
            </w:r>
          </w:p>
        </w:tc>
      </w:tr>
      <w:tr w:rsidR="009B0BCA" w:rsidRPr="001F1F3C" w14:paraId="2B5BDA5E" w14:textId="77777777" w:rsidTr="00FA26DB">
        <w:trPr>
          <w:trHeight w:val="294"/>
        </w:trPr>
        <w:tc>
          <w:tcPr>
            <w:tcW w:w="2539" w:type="dxa"/>
            <w:gridSpan w:val="2"/>
            <w:tcBorders>
              <w:top w:val="nil"/>
              <w:left w:val="nil"/>
              <w:bottom w:val="nil"/>
              <w:right w:val="nil"/>
            </w:tcBorders>
            <w:shd w:val="clear" w:color="000000" w:fill="CAE7F3"/>
            <w:noWrap/>
          </w:tcPr>
          <w:p w14:paraId="43CF6566" w14:textId="175D3121" w:rsidR="009B0BCA" w:rsidRPr="009B0BCA" w:rsidRDefault="009B0BCA" w:rsidP="009B0BCA">
            <w:pPr>
              <w:spacing w:after="0" w:line="360" w:lineRule="auto"/>
              <w:ind w:left="0"/>
              <w:jc w:val="left"/>
              <w:rPr>
                <w:rFonts w:asciiTheme="minorHAnsi" w:eastAsia="Times New Roman" w:hAnsiTheme="minorHAnsi" w:cstheme="minorHAnsi"/>
                <w:color w:val="595A5B" w:themeColor="accent5"/>
                <w:sz w:val="18"/>
                <w:szCs w:val="18"/>
                <w:lang w:eastAsia="en-AU"/>
              </w:rPr>
            </w:pPr>
            <w:r w:rsidRPr="009B0BCA">
              <w:rPr>
                <w:sz w:val="18"/>
                <w:szCs w:val="18"/>
              </w:rPr>
              <w:t xml:space="preserve">   - bagasse</w:t>
            </w:r>
          </w:p>
        </w:tc>
        <w:tc>
          <w:tcPr>
            <w:tcW w:w="1005" w:type="dxa"/>
            <w:tcBorders>
              <w:top w:val="nil"/>
              <w:left w:val="nil"/>
              <w:bottom w:val="nil"/>
              <w:right w:val="nil"/>
            </w:tcBorders>
            <w:shd w:val="clear" w:color="000000" w:fill="CAE7F3"/>
            <w:noWrap/>
          </w:tcPr>
          <w:p w14:paraId="0671D938" w14:textId="45499ACA"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1,435</w:t>
            </w:r>
          </w:p>
        </w:tc>
        <w:tc>
          <w:tcPr>
            <w:tcW w:w="992" w:type="dxa"/>
            <w:gridSpan w:val="2"/>
            <w:tcBorders>
              <w:top w:val="nil"/>
              <w:left w:val="nil"/>
              <w:bottom w:val="nil"/>
              <w:right w:val="nil"/>
            </w:tcBorders>
            <w:shd w:val="clear" w:color="000000" w:fill="CAE7F3"/>
            <w:noWrap/>
          </w:tcPr>
          <w:p w14:paraId="58A6E0AE" w14:textId="01A7E279"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0.6</w:t>
            </w:r>
          </w:p>
        </w:tc>
        <w:tc>
          <w:tcPr>
            <w:tcW w:w="278" w:type="dxa"/>
            <w:tcBorders>
              <w:top w:val="nil"/>
              <w:left w:val="nil"/>
              <w:bottom w:val="nil"/>
              <w:right w:val="nil"/>
            </w:tcBorders>
            <w:shd w:val="clear" w:color="000000" w:fill="CAE7F3"/>
            <w:noWrap/>
          </w:tcPr>
          <w:p w14:paraId="15065AEA" w14:textId="7777777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tcPr>
          <w:p w14:paraId="2FDA8578" w14:textId="649C5260"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-20.7</w:t>
            </w:r>
          </w:p>
        </w:tc>
        <w:tc>
          <w:tcPr>
            <w:tcW w:w="1077" w:type="dxa"/>
            <w:tcBorders>
              <w:top w:val="nil"/>
              <w:left w:val="nil"/>
              <w:bottom w:val="nil"/>
              <w:right w:val="nil"/>
            </w:tcBorders>
            <w:shd w:val="clear" w:color="000000" w:fill="CAE7F3"/>
            <w:noWrap/>
          </w:tcPr>
          <w:p w14:paraId="6D3F2ADA" w14:textId="187E4B1D"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na</w:t>
            </w:r>
          </w:p>
        </w:tc>
      </w:tr>
      <w:tr w:rsidR="009B0BCA" w:rsidRPr="001F1F3C" w14:paraId="54909EBC" w14:textId="77777777" w:rsidTr="00FA26DB">
        <w:trPr>
          <w:trHeight w:val="294"/>
        </w:trPr>
        <w:tc>
          <w:tcPr>
            <w:tcW w:w="2539" w:type="dxa"/>
            <w:gridSpan w:val="2"/>
            <w:tcBorders>
              <w:top w:val="nil"/>
              <w:left w:val="nil"/>
              <w:bottom w:val="nil"/>
              <w:right w:val="nil"/>
            </w:tcBorders>
            <w:shd w:val="clear" w:color="000000" w:fill="CAE7F3"/>
            <w:noWrap/>
          </w:tcPr>
          <w:p w14:paraId="7DD514A6" w14:textId="675A6F11" w:rsidR="009B0BCA" w:rsidRPr="009B0BCA" w:rsidRDefault="009B0BCA" w:rsidP="009B0BCA">
            <w:pPr>
              <w:spacing w:after="0" w:line="360" w:lineRule="auto"/>
              <w:ind w:left="0"/>
              <w:jc w:val="left"/>
              <w:rPr>
                <w:rFonts w:asciiTheme="minorHAnsi" w:eastAsia="Times New Roman" w:hAnsiTheme="minorHAnsi" w:cstheme="minorHAnsi"/>
                <w:color w:val="595A5B" w:themeColor="accent5"/>
                <w:sz w:val="18"/>
                <w:szCs w:val="18"/>
                <w:lang w:eastAsia="en-AU"/>
              </w:rPr>
            </w:pPr>
            <w:r w:rsidRPr="009B0BCA">
              <w:rPr>
                <w:sz w:val="18"/>
                <w:szCs w:val="18"/>
              </w:rPr>
              <w:t xml:space="preserve">   - wood, woodwaste</w:t>
            </w:r>
          </w:p>
        </w:tc>
        <w:tc>
          <w:tcPr>
            <w:tcW w:w="1005" w:type="dxa"/>
            <w:tcBorders>
              <w:top w:val="nil"/>
              <w:left w:val="nil"/>
              <w:bottom w:val="nil"/>
              <w:right w:val="nil"/>
            </w:tcBorders>
            <w:shd w:val="clear" w:color="000000" w:fill="CAE7F3"/>
            <w:noWrap/>
          </w:tcPr>
          <w:p w14:paraId="72860F99" w14:textId="78582B19"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355</w:t>
            </w:r>
          </w:p>
        </w:tc>
        <w:tc>
          <w:tcPr>
            <w:tcW w:w="992" w:type="dxa"/>
            <w:gridSpan w:val="2"/>
            <w:tcBorders>
              <w:top w:val="nil"/>
              <w:left w:val="nil"/>
              <w:bottom w:val="nil"/>
              <w:right w:val="nil"/>
            </w:tcBorders>
            <w:shd w:val="clear" w:color="000000" w:fill="CAE7F3"/>
            <w:noWrap/>
          </w:tcPr>
          <w:p w14:paraId="1C1164FC" w14:textId="162F6BE4"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0.1</w:t>
            </w:r>
          </w:p>
        </w:tc>
        <w:tc>
          <w:tcPr>
            <w:tcW w:w="278" w:type="dxa"/>
            <w:tcBorders>
              <w:top w:val="nil"/>
              <w:left w:val="nil"/>
              <w:bottom w:val="nil"/>
              <w:right w:val="nil"/>
            </w:tcBorders>
            <w:shd w:val="clear" w:color="000000" w:fill="CAE7F3"/>
            <w:noWrap/>
          </w:tcPr>
          <w:p w14:paraId="625BC986" w14:textId="7777777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tcPr>
          <w:p w14:paraId="764EF96F" w14:textId="3352BF3D"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42.7</w:t>
            </w:r>
          </w:p>
        </w:tc>
        <w:tc>
          <w:tcPr>
            <w:tcW w:w="1077" w:type="dxa"/>
            <w:tcBorders>
              <w:top w:val="nil"/>
              <w:left w:val="nil"/>
              <w:bottom w:val="nil"/>
              <w:right w:val="nil"/>
            </w:tcBorders>
            <w:shd w:val="clear" w:color="000000" w:fill="CAE7F3"/>
            <w:noWrap/>
          </w:tcPr>
          <w:p w14:paraId="4EC41CC5" w14:textId="1AF26094"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na</w:t>
            </w:r>
          </w:p>
        </w:tc>
      </w:tr>
      <w:tr w:rsidR="009B0BCA" w:rsidRPr="001F1F3C" w14:paraId="669CFB2C" w14:textId="77777777" w:rsidTr="00FA26DB">
        <w:trPr>
          <w:trHeight w:val="294"/>
        </w:trPr>
        <w:tc>
          <w:tcPr>
            <w:tcW w:w="2539" w:type="dxa"/>
            <w:gridSpan w:val="2"/>
            <w:tcBorders>
              <w:top w:val="nil"/>
              <w:left w:val="nil"/>
              <w:bottom w:val="nil"/>
              <w:right w:val="nil"/>
            </w:tcBorders>
            <w:shd w:val="clear" w:color="000000" w:fill="CAE7F3"/>
            <w:noWrap/>
          </w:tcPr>
          <w:p w14:paraId="4B268516" w14:textId="5EF046B3" w:rsidR="009B0BCA" w:rsidRPr="009B0BCA" w:rsidRDefault="009B0BCA" w:rsidP="009B0BCA">
            <w:pPr>
              <w:spacing w:after="0" w:line="360" w:lineRule="auto"/>
              <w:ind w:left="0" w:right="-108"/>
              <w:jc w:val="left"/>
              <w:rPr>
                <w:rFonts w:asciiTheme="minorHAnsi" w:eastAsia="Times New Roman" w:hAnsiTheme="minorHAnsi" w:cstheme="minorHAnsi"/>
                <w:color w:val="595A5B" w:themeColor="accent5"/>
                <w:sz w:val="18"/>
                <w:szCs w:val="18"/>
                <w:lang w:eastAsia="en-AU"/>
              </w:rPr>
            </w:pPr>
            <w:r w:rsidRPr="009B0BCA">
              <w:rPr>
                <w:sz w:val="18"/>
                <w:szCs w:val="18"/>
              </w:rPr>
              <w:t xml:space="preserve">   - municipal, industrial waste</w:t>
            </w:r>
          </w:p>
        </w:tc>
        <w:tc>
          <w:tcPr>
            <w:tcW w:w="1005" w:type="dxa"/>
            <w:tcBorders>
              <w:top w:val="nil"/>
              <w:left w:val="nil"/>
              <w:bottom w:val="nil"/>
              <w:right w:val="nil"/>
            </w:tcBorders>
            <w:shd w:val="clear" w:color="000000" w:fill="CAE7F3"/>
            <w:noWrap/>
          </w:tcPr>
          <w:p w14:paraId="1FCC8153" w14:textId="080F3ECF"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76</w:t>
            </w:r>
          </w:p>
        </w:tc>
        <w:tc>
          <w:tcPr>
            <w:tcW w:w="992" w:type="dxa"/>
            <w:gridSpan w:val="2"/>
            <w:tcBorders>
              <w:top w:val="nil"/>
              <w:left w:val="nil"/>
              <w:bottom w:val="nil"/>
              <w:right w:val="nil"/>
            </w:tcBorders>
            <w:shd w:val="clear" w:color="000000" w:fill="CAE7F3"/>
            <w:noWrap/>
          </w:tcPr>
          <w:p w14:paraId="038A08F3" w14:textId="50FEC306"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0.0</w:t>
            </w:r>
          </w:p>
        </w:tc>
        <w:tc>
          <w:tcPr>
            <w:tcW w:w="278" w:type="dxa"/>
            <w:tcBorders>
              <w:top w:val="nil"/>
              <w:left w:val="nil"/>
              <w:bottom w:val="nil"/>
              <w:right w:val="nil"/>
            </w:tcBorders>
            <w:shd w:val="clear" w:color="000000" w:fill="CAE7F3"/>
            <w:noWrap/>
          </w:tcPr>
          <w:p w14:paraId="618603CE" w14:textId="7777777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tcPr>
          <w:p w14:paraId="6D4CD225" w14:textId="257EC17F"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76.9</w:t>
            </w:r>
          </w:p>
        </w:tc>
        <w:tc>
          <w:tcPr>
            <w:tcW w:w="1077" w:type="dxa"/>
            <w:tcBorders>
              <w:top w:val="nil"/>
              <w:left w:val="nil"/>
              <w:bottom w:val="nil"/>
              <w:right w:val="nil"/>
            </w:tcBorders>
            <w:shd w:val="clear" w:color="000000" w:fill="CAE7F3"/>
            <w:noWrap/>
          </w:tcPr>
          <w:p w14:paraId="3726CD41" w14:textId="345DB7EF"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na</w:t>
            </w:r>
          </w:p>
        </w:tc>
      </w:tr>
      <w:tr w:rsidR="009B0BCA" w:rsidRPr="001F1F3C" w14:paraId="45827CC3" w14:textId="77777777" w:rsidTr="00FA26DB">
        <w:trPr>
          <w:trHeight w:val="294"/>
        </w:trPr>
        <w:tc>
          <w:tcPr>
            <w:tcW w:w="2539" w:type="dxa"/>
            <w:gridSpan w:val="2"/>
            <w:tcBorders>
              <w:top w:val="nil"/>
              <w:left w:val="nil"/>
              <w:bottom w:val="nil"/>
              <w:right w:val="nil"/>
            </w:tcBorders>
            <w:shd w:val="clear" w:color="000000" w:fill="CAE7F3"/>
            <w:noWrap/>
          </w:tcPr>
          <w:p w14:paraId="2F5CA88B" w14:textId="04ACA510" w:rsidR="009B0BCA" w:rsidRPr="009B0BCA" w:rsidRDefault="009B0BCA" w:rsidP="009B0BCA">
            <w:pPr>
              <w:spacing w:after="0" w:line="360" w:lineRule="auto"/>
              <w:ind w:left="0"/>
              <w:jc w:val="left"/>
              <w:rPr>
                <w:rFonts w:asciiTheme="minorHAnsi" w:eastAsia="Times New Roman" w:hAnsiTheme="minorHAnsi" w:cstheme="minorHAnsi"/>
                <w:color w:val="595A5B" w:themeColor="accent5"/>
                <w:sz w:val="18"/>
                <w:szCs w:val="18"/>
                <w:lang w:eastAsia="en-AU"/>
              </w:rPr>
            </w:pPr>
            <w:r w:rsidRPr="009B0BCA">
              <w:rPr>
                <w:sz w:val="18"/>
                <w:szCs w:val="18"/>
              </w:rPr>
              <w:t xml:space="preserve">   - </w:t>
            </w:r>
            <w:r w:rsidR="003A0C78" w:rsidRPr="009B0BCA">
              <w:rPr>
                <w:sz w:val="18"/>
                <w:szCs w:val="18"/>
              </w:rPr>
              <w:t>sulphite</w:t>
            </w:r>
            <w:r w:rsidRPr="009B0BCA">
              <w:rPr>
                <w:sz w:val="18"/>
                <w:szCs w:val="18"/>
              </w:rPr>
              <w:t xml:space="preserve"> lyes, biofuels</w:t>
            </w:r>
          </w:p>
        </w:tc>
        <w:tc>
          <w:tcPr>
            <w:tcW w:w="1005" w:type="dxa"/>
            <w:tcBorders>
              <w:top w:val="nil"/>
              <w:left w:val="nil"/>
              <w:bottom w:val="nil"/>
              <w:right w:val="nil"/>
            </w:tcBorders>
            <w:shd w:val="clear" w:color="000000" w:fill="CAE7F3"/>
            <w:noWrap/>
          </w:tcPr>
          <w:p w14:paraId="10BAA302" w14:textId="3BC78648"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442</w:t>
            </w:r>
          </w:p>
        </w:tc>
        <w:tc>
          <w:tcPr>
            <w:tcW w:w="992" w:type="dxa"/>
            <w:gridSpan w:val="2"/>
            <w:tcBorders>
              <w:top w:val="nil"/>
              <w:left w:val="nil"/>
              <w:bottom w:val="nil"/>
              <w:right w:val="nil"/>
            </w:tcBorders>
            <w:shd w:val="clear" w:color="000000" w:fill="CAE7F3"/>
            <w:noWrap/>
          </w:tcPr>
          <w:p w14:paraId="630C3447" w14:textId="2A60EE8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0.2</w:t>
            </w:r>
          </w:p>
        </w:tc>
        <w:tc>
          <w:tcPr>
            <w:tcW w:w="278" w:type="dxa"/>
            <w:tcBorders>
              <w:top w:val="nil"/>
              <w:left w:val="nil"/>
              <w:bottom w:val="nil"/>
              <w:right w:val="nil"/>
            </w:tcBorders>
            <w:shd w:val="clear" w:color="000000" w:fill="CAE7F3"/>
            <w:noWrap/>
          </w:tcPr>
          <w:p w14:paraId="663E7C9B" w14:textId="7777777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tcPr>
          <w:p w14:paraId="063F26F8" w14:textId="469FD5E9"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6.2</w:t>
            </w:r>
          </w:p>
        </w:tc>
        <w:tc>
          <w:tcPr>
            <w:tcW w:w="1077" w:type="dxa"/>
            <w:tcBorders>
              <w:top w:val="nil"/>
              <w:left w:val="nil"/>
              <w:bottom w:val="nil"/>
              <w:right w:val="nil"/>
            </w:tcBorders>
            <w:shd w:val="clear" w:color="000000" w:fill="CAE7F3"/>
            <w:noWrap/>
          </w:tcPr>
          <w:p w14:paraId="3FC6B7B5" w14:textId="73C37B86"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na</w:t>
            </w:r>
          </w:p>
        </w:tc>
      </w:tr>
      <w:tr w:rsidR="009B0BCA" w:rsidRPr="001F1F3C" w14:paraId="694B467E" w14:textId="77777777" w:rsidTr="00FA26DB">
        <w:trPr>
          <w:trHeight w:val="294"/>
        </w:trPr>
        <w:tc>
          <w:tcPr>
            <w:tcW w:w="2539" w:type="dxa"/>
            <w:gridSpan w:val="2"/>
            <w:tcBorders>
              <w:top w:val="nil"/>
              <w:left w:val="nil"/>
              <w:bottom w:val="nil"/>
              <w:right w:val="nil"/>
            </w:tcBorders>
            <w:shd w:val="clear" w:color="000000" w:fill="CAE7F3"/>
            <w:noWrap/>
          </w:tcPr>
          <w:p w14:paraId="39F90ECB" w14:textId="57FD234D" w:rsidR="009B0BCA" w:rsidRPr="009B0BCA" w:rsidRDefault="009B0BCA" w:rsidP="009B0BCA">
            <w:pPr>
              <w:spacing w:after="0" w:line="360" w:lineRule="auto"/>
              <w:ind w:left="0"/>
              <w:jc w:val="left"/>
              <w:rPr>
                <w:rFonts w:asciiTheme="minorHAnsi" w:eastAsia="Times New Roman" w:hAnsiTheme="minorHAnsi" w:cstheme="minorHAnsi"/>
                <w:color w:val="595A5B" w:themeColor="accent5"/>
                <w:sz w:val="18"/>
                <w:szCs w:val="18"/>
                <w:lang w:eastAsia="en-AU"/>
              </w:rPr>
            </w:pPr>
            <w:r w:rsidRPr="009B0BCA">
              <w:rPr>
                <w:sz w:val="18"/>
                <w:szCs w:val="18"/>
              </w:rPr>
              <w:t xml:space="preserve">   - landfill biogas</w:t>
            </w:r>
          </w:p>
        </w:tc>
        <w:tc>
          <w:tcPr>
            <w:tcW w:w="1005" w:type="dxa"/>
            <w:tcBorders>
              <w:top w:val="nil"/>
              <w:left w:val="nil"/>
              <w:bottom w:val="nil"/>
              <w:right w:val="nil"/>
            </w:tcBorders>
            <w:shd w:val="clear" w:color="000000" w:fill="CAE7F3"/>
            <w:noWrap/>
          </w:tcPr>
          <w:p w14:paraId="22B9664D" w14:textId="262F1C4C"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970</w:t>
            </w:r>
          </w:p>
        </w:tc>
        <w:tc>
          <w:tcPr>
            <w:tcW w:w="992" w:type="dxa"/>
            <w:gridSpan w:val="2"/>
            <w:tcBorders>
              <w:top w:val="nil"/>
              <w:left w:val="nil"/>
              <w:bottom w:val="nil"/>
              <w:right w:val="nil"/>
            </w:tcBorders>
            <w:shd w:val="clear" w:color="000000" w:fill="CAE7F3"/>
            <w:noWrap/>
          </w:tcPr>
          <w:p w14:paraId="3D9668AC" w14:textId="31B49D2F"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0.4</w:t>
            </w:r>
          </w:p>
        </w:tc>
        <w:tc>
          <w:tcPr>
            <w:tcW w:w="278" w:type="dxa"/>
            <w:tcBorders>
              <w:top w:val="nil"/>
              <w:left w:val="nil"/>
              <w:bottom w:val="nil"/>
              <w:right w:val="nil"/>
            </w:tcBorders>
            <w:shd w:val="clear" w:color="000000" w:fill="CAE7F3"/>
            <w:noWrap/>
          </w:tcPr>
          <w:p w14:paraId="4E3A5A03" w14:textId="7777777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tcPr>
          <w:p w14:paraId="2F9C0287" w14:textId="667001E3"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-8.6</w:t>
            </w:r>
          </w:p>
        </w:tc>
        <w:tc>
          <w:tcPr>
            <w:tcW w:w="1077" w:type="dxa"/>
            <w:tcBorders>
              <w:top w:val="nil"/>
              <w:left w:val="nil"/>
              <w:bottom w:val="nil"/>
              <w:right w:val="nil"/>
            </w:tcBorders>
            <w:shd w:val="clear" w:color="000000" w:fill="CAE7F3"/>
            <w:noWrap/>
          </w:tcPr>
          <w:p w14:paraId="0F19BBEE" w14:textId="4E9B672E"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na</w:t>
            </w:r>
          </w:p>
        </w:tc>
      </w:tr>
      <w:tr w:rsidR="009B0BCA" w:rsidRPr="001F1F3C" w14:paraId="6A9775B4" w14:textId="77777777" w:rsidTr="00FA26DB">
        <w:trPr>
          <w:trHeight w:val="294"/>
        </w:trPr>
        <w:tc>
          <w:tcPr>
            <w:tcW w:w="2539" w:type="dxa"/>
            <w:gridSpan w:val="2"/>
            <w:tcBorders>
              <w:top w:val="nil"/>
              <w:left w:val="nil"/>
              <w:bottom w:val="nil"/>
              <w:right w:val="nil"/>
            </w:tcBorders>
            <w:shd w:val="clear" w:color="000000" w:fill="CAE7F3"/>
            <w:noWrap/>
          </w:tcPr>
          <w:p w14:paraId="07DC2FFC" w14:textId="2A93E347" w:rsidR="009B0BCA" w:rsidRPr="009B0BCA" w:rsidRDefault="009B0BCA" w:rsidP="009B0BCA">
            <w:pPr>
              <w:spacing w:after="0" w:line="360" w:lineRule="auto"/>
              <w:ind w:left="0"/>
              <w:jc w:val="left"/>
              <w:rPr>
                <w:rFonts w:asciiTheme="minorHAnsi" w:eastAsia="Times New Roman" w:hAnsiTheme="minorHAnsi" w:cstheme="minorHAnsi"/>
                <w:color w:val="595A5B" w:themeColor="accent5"/>
                <w:sz w:val="18"/>
                <w:szCs w:val="18"/>
                <w:lang w:eastAsia="en-AU"/>
              </w:rPr>
            </w:pPr>
            <w:r w:rsidRPr="009B0BCA">
              <w:rPr>
                <w:sz w:val="18"/>
                <w:szCs w:val="18"/>
              </w:rPr>
              <w:t xml:space="preserve">   - sludge biogas</w:t>
            </w:r>
          </w:p>
        </w:tc>
        <w:tc>
          <w:tcPr>
            <w:tcW w:w="1005" w:type="dxa"/>
            <w:tcBorders>
              <w:top w:val="nil"/>
              <w:left w:val="nil"/>
              <w:bottom w:val="nil"/>
              <w:right w:val="nil"/>
            </w:tcBorders>
            <w:shd w:val="clear" w:color="000000" w:fill="CAE7F3"/>
            <w:noWrap/>
          </w:tcPr>
          <w:p w14:paraId="252992B7" w14:textId="65B9A182"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223</w:t>
            </w:r>
          </w:p>
        </w:tc>
        <w:tc>
          <w:tcPr>
            <w:tcW w:w="992" w:type="dxa"/>
            <w:gridSpan w:val="2"/>
            <w:tcBorders>
              <w:top w:val="nil"/>
              <w:left w:val="nil"/>
              <w:bottom w:val="nil"/>
              <w:right w:val="nil"/>
            </w:tcBorders>
            <w:shd w:val="clear" w:color="000000" w:fill="CAE7F3"/>
            <w:noWrap/>
          </w:tcPr>
          <w:p w14:paraId="46EE4ADA" w14:textId="501EF8C6"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0.1</w:t>
            </w:r>
          </w:p>
        </w:tc>
        <w:tc>
          <w:tcPr>
            <w:tcW w:w="278" w:type="dxa"/>
            <w:tcBorders>
              <w:top w:val="nil"/>
              <w:left w:val="nil"/>
              <w:bottom w:val="nil"/>
              <w:right w:val="nil"/>
            </w:tcBorders>
            <w:shd w:val="clear" w:color="000000" w:fill="CAE7F3"/>
            <w:noWrap/>
          </w:tcPr>
          <w:p w14:paraId="3EBA54E7" w14:textId="7777777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tcPr>
          <w:p w14:paraId="0D57F53E" w14:textId="161CA7BE"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5.6</w:t>
            </w:r>
          </w:p>
        </w:tc>
        <w:tc>
          <w:tcPr>
            <w:tcW w:w="1077" w:type="dxa"/>
            <w:tcBorders>
              <w:top w:val="nil"/>
              <w:left w:val="nil"/>
              <w:bottom w:val="nil"/>
              <w:right w:val="nil"/>
            </w:tcBorders>
            <w:shd w:val="clear" w:color="000000" w:fill="CAE7F3"/>
            <w:noWrap/>
          </w:tcPr>
          <w:p w14:paraId="0267FE67" w14:textId="33A90CB0"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na</w:t>
            </w:r>
          </w:p>
        </w:tc>
      </w:tr>
      <w:tr w:rsidR="009B0BCA" w:rsidRPr="001F1F3C" w14:paraId="67553164" w14:textId="77777777" w:rsidTr="00FA26DB">
        <w:trPr>
          <w:trHeight w:val="294"/>
        </w:trPr>
        <w:tc>
          <w:tcPr>
            <w:tcW w:w="2539" w:type="dxa"/>
            <w:gridSpan w:val="2"/>
            <w:tcBorders>
              <w:top w:val="nil"/>
              <w:left w:val="nil"/>
              <w:bottom w:val="nil"/>
              <w:right w:val="nil"/>
            </w:tcBorders>
            <w:shd w:val="clear" w:color="000000" w:fill="CAE7F3"/>
            <w:noWrap/>
            <w:hideMark/>
          </w:tcPr>
          <w:p w14:paraId="4F8B74C0" w14:textId="1C3787D0" w:rsidR="009B0BCA" w:rsidRPr="009B0BCA" w:rsidRDefault="009B0BCA" w:rsidP="009B0BCA">
            <w:pPr>
              <w:spacing w:after="0" w:line="360" w:lineRule="auto"/>
              <w:ind w:left="0"/>
              <w:jc w:val="left"/>
              <w:rPr>
                <w:rFonts w:asciiTheme="minorHAnsi" w:eastAsia="Times New Roman" w:hAnsiTheme="minorHAnsi" w:cstheme="minorHAnsi"/>
                <w:sz w:val="18"/>
                <w:szCs w:val="18"/>
                <w:lang w:eastAsia="en-AU"/>
              </w:rPr>
            </w:pPr>
            <w:r w:rsidRPr="009B0BCA">
              <w:rPr>
                <w:sz w:val="18"/>
                <w:szCs w:val="18"/>
              </w:rPr>
              <w:t>Solar PV</w:t>
            </w:r>
          </w:p>
        </w:tc>
        <w:tc>
          <w:tcPr>
            <w:tcW w:w="1005" w:type="dxa"/>
            <w:tcBorders>
              <w:top w:val="nil"/>
              <w:left w:val="nil"/>
              <w:bottom w:val="nil"/>
              <w:right w:val="nil"/>
            </w:tcBorders>
            <w:shd w:val="clear" w:color="000000" w:fill="CAE7F3"/>
            <w:noWrap/>
            <w:hideMark/>
          </w:tcPr>
          <w:p w14:paraId="340ACBFB" w14:textId="5E61BC06"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8,072</w:t>
            </w:r>
          </w:p>
        </w:tc>
        <w:tc>
          <w:tcPr>
            <w:tcW w:w="992" w:type="dxa"/>
            <w:gridSpan w:val="2"/>
            <w:tcBorders>
              <w:top w:val="nil"/>
              <w:left w:val="nil"/>
              <w:bottom w:val="nil"/>
              <w:right w:val="nil"/>
            </w:tcBorders>
            <w:shd w:val="clear" w:color="000000" w:fill="CAE7F3"/>
            <w:noWrap/>
            <w:hideMark/>
          </w:tcPr>
          <w:p w14:paraId="1D403B0C" w14:textId="03D5024C"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3.1</w:t>
            </w:r>
          </w:p>
        </w:tc>
        <w:tc>
          <w:tcPr>
            <w:tcW w:w="278" w:type="dxa"/>
            <w:tcBorders>
              <w:top w:val="nil"/>
              <w:left w:val="nil"/>
              <w:bottom w:val="nil"/>
              <w:right w:val="nil"/>
            </w:tcBorders>
            <w:shd w:val="clear" w:color="000000" w:fill="CAE7F3"/>
            <w:noWrap/>
            <w:hideMark/>
          </w:tcPr>
          <w:p w14:paraId="4425ED30" w14:textId="7777777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hideMark/>
          </w:tcPr>
          <w:p w14:paraId="7E091C41" w14:textId="4994036C"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18.0</w:t>
            </w:r>
          </w:p>
        </w:tc>
        <w:tc>
          <w:tcPr>
            <w:tcW w:w="1077" w:type="dxa"/>
            <w:tcBorders>
              <w:top w:val="nil"/>
              <w:left w:val="nil"/>
              <w:bottom w:val="nil"/>
              <w:right w:val="nil"/>
            </w:tcBorders>
            <w:shd w:val="clear" w:color="000000" w:fill="CAE7F3"/>
            <w:noWrap/>
            <w:hideMark/>
          </w:tcPr>
          <w:p w14:paraId="3E8DF74E" w14:textId="0C370C63"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59.2</w:t>
            </w:r>
          </w:p>
        </w:tc>
      </w:tr>
      <w:tr w:rsidR="009B0BCA" w:rsidRPr="001F1F3C" w14:paraId="079D697A" w14:textId="77777777" w:rsidTr="00FA26DB">
        <w:trPr>
          <w:trHeight w:val="309"/>
        </w:trPr>
        <w:tc>
          <w:tcPr>
            <w:tcW w:w="2539" w:type="dxa"/>
            <w:gridSpan w:val="2"/>
            <w:tcBorders>
              <w:top w:val="nil"/>
              <w:left w:val="nil"/>
              <w:bottom w:val="nil"/>
              <w:right w:val="nil"/>
            </w:tcBorders>
            <w:shd w:val="clear" w:color="000000" w:fill="CAE7F3"/>
            <w:noWrap/>
          </w:tcPr>
          <w:p w14:paraId="4A54C329" w14:textId="3C5D5122" w:rsidR="009B0BCA" w:rsidRPr="009B0BCA" w:rsidRDefault="009B0BCA" w:rsidP="009B0BCA">
            <w:pPr>
              <w:spacing w:after="0" w:line="360" w:lineRule="auto"/>
              <w:ind w:left="0"/>
              <w:jc w:val="left"/>
              <w:rPr>
                <w:rFonts w:asciiTheme="minorHAnsi" w:eastAsia="Times New Roman" w:hAnsiTheme="minorHAnsi" w:cstheme="minorHAnsi"/>
                <w:color w:val="595A5B" w:themeColor="accent5"/>
                <w:sz w:val="18"/>
                <w:szCs w:val="18"/>
                <w:lang w:eastAsia="en-AU"/>
              </w:rPr>
            </w:pPr>
            <w:r w:rsidRPr="009B0BCA">
              <w:rPr>
                <w:sz w:val="18"/>
                <w:szCs w:val="18"/>
              </w:rPr>
              <w:t xml:space="preserve">   - small scale</w:t>
            </w:r>
          </w:p>
        </w:tc>
        <w:tc>
          <w:tcPr>
            <w:tcW w:w="1005" w:type="dxa"/>
            <w:tcBorders>
              <w:top w:val="nil"/>
              <w:left w:val="nil"/>
              <w:bottom w:val="nil"/>
              <w:right w:val="nil"/>
            </w:tcBorders>
            <w:shd w:val="clear" w:color="000000" w:fill="CAE7F3"/>
            <w:noWrap/>
          </w:tcPr>
          <w:p w14:paraId="30CFE312" w14:textId="531DF1E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7,399</w:t>
            </w:r>
          </w:p>
        </w:tc>
        <w:tc>
          <w:tcPr>
            <w:tcW w:w="992" w:type="dxa"/>
            <w:gridSpan w:val="2"/>
            <w:tcBorders>
              <w:top w:val="nil"/>
              <w:left w:val="nil"/>
              <w:bottom w:val="nil"/>
              <w:right w:val="nil"/>
            </w:tcBorders>
            <w:shd w:val="clear" w:color="000000" w:fill="CAE7F3"/>
            <w:noWrap/>
          </w:tcPr>
          <w:p w14:paraId="324707F3" w14:textId="3661370B"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2.9</w:t>
            </w:r>
          </w:p>
        </w:tc>
        <w:tc>
          <w:tcPr>
            <w:tcW w:w="278" w:type="dxa"/>
            <w:tcBorders>
              <w:top w:val="nil"/>
              <w:left w:val="nil"/>
              <w:bottom w:val="nil"/>
              <w:right w:val="nil"/>
            </w:tcBorders>
            <w:shd w:val="clear" w:color="000000" w:fill="CAE7F3"/>
            <w:noWrap/>
          </w:tcPr>
          <w:p w14:paraId="6A08CA05" w14:textId="7777777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tcPr>
          <w:p w14:paraId="6E3B0C5D" w14:textId="1449174D"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16.0</w:t>
            </w:r>
          </w:p>
        </w:tc>
        <w:tc>
          <w:tcPr>
            <w:tcW w:w="1077" w:type="dxa"/>
            <w:tcBorders>
              <w:top w:val="nil"/>
              <w:left w:val="nil"/>
              <w:bottom w:val="nil"/>
              <w:right w:val="nil"/>
            </w:tcBorders>
            <w:shd w:val="clear" w:color="000000" w:fill="CAE7F3"/>
            <w:noWrap/>
          </w:tcPr>
          <w:p w14:paraId="6A5630DC" w14:textId="191BBCA8"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57.7</w:t>
            </w:r>
          </w:p>
        </w:tc>
      </w:tr>
      <w:tr w:rsidR="009B0BCA" w:rsidRPr="001F1F3C" w14:paraId="0415C0BA" w14:textId="77777777" w:rsidTr="00FA26DB">
        <w:trPr>
          <w:trHeight w:val="294"/>
        </w:trPr>
        <w:tc>
          <w:tcPr>
            <w:tcW w:w="2539" w:type="dxa"/>
            <w:gridSpan w:val="2"/>
            <w:tcBorders>
              <w:top w:val="nil"/>
              <w:left w:val="nil"/>
              <w:bottom w:val="nil"/>
              <w:right w:val="nil"/>
            </w:tcBorders>
            <w:shd w:val="clear" w:color="000000" w:fill="CAE7F3"/>
            <w:noWrap/>
          </w:tcPr>
          <w:p w14:paraId="3CE422F8" w14:textId="0FA35BA3" w:rsidR="009B0BCA" w:rsidRPr="009B0BCA" w:rsidRDefault="009B0BCA" w:rsidP="009B0BCA">
            <w:pPr>
              <w:spacing w:after="0" w:line="360" w:lineRule="auto"/>
              <w:ind w:left="0"/>
              <w:jc w:val="left"/>
              <w:rPr>
                <w:rFonts w:asciiTheme="minorHAnsi" w:eastAsia="Times New Roman" w:hAnsiTheme="minorHAnsi" w:cstheme="minorHAnsi"/>
                <w:color w:val="595A5B" w:themeColor="accent5"/>
                <w:sz w:val="18"/>
                <w:szCs w:val="18"/>
                <w:lang w:eastAsia="en-AU"/>
              </w:rPr>
            </w:pPr>
            <w:r w:rsidRPr="009B0BCA">
              <w:rPr>
                <w:sz w:val="18"/>
                <w:szCs w:val="18"/>
              </w:rPr>
              <w:t xml:space="preserve">   - large scale</w:t>
            </w:r>
          </w:p>
        </w:tc>
        <w:tc>
          <w:tcPr>
            <w:tcW w:w="1005" w:type="dxa"/>
            <w:tcBorders>
              <w:top w:val="nil"/>
              <w:left w:val="nil"/>
              <w:bottom w:val="nil"/>
              <w:right w:val="nil"/>
            </w:tcBorders>
            <w:shd w:val="clear" w:color="000000" w:fill="CAE7F3"/>
            <w:noWrap/>
          </w:tcPr>
          <w:p w14:paraId="171E6009" w14:textId="4314511C"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672</w:t>
            </w:r>
          </w:p>
        </w:tc>
        <w:tc>
          <w:tcPr>
            <w:tcW w:w="992" w:type="dxa"/>
            <w:gridSpan w:val="2"/>
            <w:tcBorders>
              <w:top w:val="nil"/>
              <w:left w:val="nil"/>
              <w:bottom w:val="nil"/>
              <w:right w:val="nil"/>
            </w:tcBorders>
            <w:shd w:val="clear" w:color="000000" w:fill="CAE7F3"/>
            <w:noWrap/>
          </w:tcPr>
          <w:p w14:paraId="0356E7E1" w14:textId="0EED1A9D"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0.3</w:t>
            </w:r>
          </w:p>
        </w:tc>
        <w:tc>
          <w:tcPr>
            <w:tcW w:w="278" w:type="dxa"/>
            <w:tcBorders>
              <w:top w:val="nil"/>
              <w:left w:val="nil"/>
              <w:bottom w:val="nil"/>
              <w:right w:val="nil"/>
            </w:tcBorders>
            <w:shd w:val="clear" w:color="000000" w:fill="CAE7F3"/>
            <w:noWrap/>
          </w:tcPr>
          <w:p w14:paraId="380A5577" w14:textId="77777777"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tcPr>
          <w:p w14:paraId="7F7D8EF1" w14:textId="03D35D29"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47.1</w:t>
            </w:r>
          </w:p>
        </w:tc>
        <w:tc>
          <w:tcPr>
            <w:tcW w:w="1077" w:type="dxa"/>
            <w:tcBorders>
              <w:top w:val="nil"/>
              <w:left w:val="nil"/>
              <w:bottom w:val="nil"/>
              <w:right w:val="nil"/>
            </w:tcBorders>
            <w:shd w:val="clear" w:color="000000" w:fill="CAE7F3"/>
            <w:noWrap/>
          </w:tcPr>
          <w:p w14:paraId="0EE1B627" w14:textId="2C55CE8C"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na</w:t>
            </w:r>
          </w:p>
        </w:tc>
      </w:tr>
      <w:tr w:rsidR="009B0BCA" w:rsidRPr="001F1F3C" w14:paraId="55825887" w14:textId="77777777" w:rsidTr="00FA26DB">
        <w:trPr>
          <w:trHeight w:val="294"/>
        </w:trPr>
        <w:tc>
          <w:tcPr>
            <w:tcW w:w="2539" w:type="dxa"/>
            <w:gridSpan w:val="2"/>
            <w:tcBorders>
              <w:top w:val="nil"/>
              <w:left w:val="nil"/>
              <w:bottom w:val="nil"/>
              <w:right w:val="nil"/>
            </w:tcBorders>
            <w:shd w:val="clear" w:color="000000" w:fill="CAE7F3"/>
            <w:noWrap/>
            <w:hideMark/>
          </w:tcPr>
          <w:p w14:paraId="518F48C8" w14:textId="551C752F" w:rsidR="009B0BCA" w:rsidRPr="009B0BCA" w:rsidRDefault="009B0BCA" w:rsidP="009B0BCA">
            <w:pPr>
              <w:spacing w:after="0" w:line="480" w:lineRule="auto"/>
              <w:ind w:left="0"/>
              <w:jc w:val="left"/>
              <w:rPr>
                <w:rFonts w:asciiTheme="minorHAnsi" w:eastAsia="Times New Roman" w:hAnsiTheme="minorHAnsi" w:cstheme="minorHAnsi"/>
                <w:sz w:val="18"/>
                <w:szCs w:val="18"/>
                <w:lang w:eastAsia="en-AU"/>
              </w:rPr>
            </w:pPr>
            <w:r w:rsidRPr="009B0BCA">
              <w:rPr>
                <w:sz w:val="18"/>
                <w:szCs w:val="18"/>
              </w:rPr>
              <w:t>Geothermal</w:t>
            </w:r>
          </w:p>
        </w:tc>
        <w:tc>
          <w:tcPr>
            <w:tcW w:w="1005" w:type="dxa"/>
            <w:tcBorders>
              <w:top w:val="nil"/>
              <w:left w:val="nil"/>
              <w:bottom w:val="nil"/>
              <w:right w:val="nil"/>
            </w:tcBorders>
            <w:shd w:val="clear" w:color="000000" w:fill="CAE7F3"/>
            <w:noWrap/>
            <w:hideMark/>
          </w:tcPr>
          <w:p w14:paraId="00E7F6C1" w14:textId="061D1222" w:rsidR="009B0BCA" w:rsidRPr="009B0BCA" w:rsidRDefault="009B0BCA" w:rsidP="009B0BCA">
            <w:pPr>
              <w:spacing w:after="0" w:line="48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1</w:t>
            </w:r>
          </w:p>
        </w:tc>
        <w:tc>
          <w:tcPr>
            <w:tcW w:w="992" w:type="dxa"/>
            <w:gridSpan w:val="2"/>
            <w:tcBorders>
              <w:top w:val="nil"/>
              <w:left w:val="nil"/>
              <w:bottom w:val="nil"/>
              <w:right w:val="nil"/>
            </w:tcBorders>
            <w:shd w:val="clear" w:color="000000" w:fill="CAE7F3"/>
            <w:noWrap/>
            <w:hideMark/>
          </w:tcPr>
          <w:p w14:paraId="5DF1F246" w14:textId="4427CB9B" w:rsidR="009B0BCA" w:rsidRPr="009B0BCA" w:rsidRDefault="009B0BCA" w:rsidP="009B0BCA">
            <w:pPr>
              <w:spacing w:after="0" w:line="48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0.0</w:t>
            </w:r>
          </w:p>
        </w:tc>
        <w:tc>
          <w:tcPr>
            <w:tcW w:w="278" w:type="dxa"/>
            <w:tcBorders>
              <w:top w:val="nil"/>
              <w:left w:val="nil"/>
              <w:bottom w:val="nil"/>
              <w:right w:val="nil"/>
            </w:tcBorders>
            <w:shd w:val="clear" w:color="000000" w:fill="CAE7F3"/>
            <w:noWrap/>
            <w:hideMark/>
          </w:tcPr>
          <w:p w14:paraId="25E84F0F" w14:textId="77777777" w:rsidR="009B0BCA" w:rsidRPr="009B0BCA" w:rsidRDefault="009B0BCA" w:rsidP="009B0BCA">
            <w:pPr>
              <w:spacing w:after="0" w:line="480" w:lineRule="auto"/>
              <w:ind w:left="0"/>
              <w:jc w:val="right"/>
              <w:rPr>
                <w:rFonts w:asciiTheme="minorHAnsi" w:eastAsia="Times New Roman" w:hAnsiTheme="minorHAnsi" w:cstheme="minorHAnsi"/>
                <w:color w:val="595A5B" w:themeColor="accent5"/>
                <w:sz w:val="18"/>
                <w:szCs w:val="18"/>
                <w:lang w:eastAsia="en-AU"/>
              </w:rPr>
            </w:pPr>
          </w:p>
        </w:tc>
        <w:tc>
          <w:tcPr>
            <w:tcW w:w="1055" w:type="dxa"/>
            <w:tcBorders>
              <w:top w:val="nil"/>
              <w:left w:val="nil"/>
              <w:bottom w:val="nil"/>
              <w:right w:val="nil"/>
            </w:tcBorders>
            <w:shd w:val="clear" w:color="000000" w:fill="CAE7F3"/>
            <w:noWrap/>
            <w:hideMark/>
          </w:tcPr>
          <w:p w14:paraId="5C2DB968" w14:textId="28914984"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133.3</w:t>
            </w:r>
          </w:p>
        </w:tc>
        <w:tc>
          <w:tcPr>
            <w:tcW w:w="1077" w:type="dxa"/>
            <w:tcBorders>
              <w:top w:val="nil"/>
              <w:left w:val="nil"/>
              <w:bottom w:val="nil"/>
              <w:right w:val="nil"/>
            </w:tcBorders>
            <w:shd w:val="clear" w:color="000000" w:fill="CAE7F3"/>
            <w:noWrap/>
            <w:hideMark/>
          </w:tcPr>
          <w:p w14:paraId="612EA525" w14:textId="608FDAAD" w:rsidR="009B0BCA" w:rsidRPr="009B0BCA" w:rsidRDefault="009B0BCA" w:rsidP="009B0BCA">
            <w:pPr>
              <w:spacing w:after="0" w:line="360" w:lineRule="auto"/>
              <w:ind w:left="0"/>
              <w:jc w:val="right"/>
              <w:rPr>
                <w:rFonts w:asciiTheme="minorHAnsi" w:eastAsia="Times New Roman" w:hAnsiTheme="minorHAnsi" w:cstheme="minorHAnsi"/>
                <w:color w:val="595A5B" w:themeColor="accent5"/>
                <w:sz w:val="18"/>
                <w:szCs w:val="18"/>
                <w:lang w:eastAsia="en-AU"/>
              </w:rPr>
            </w:pPr>
            <w:r w:rsidRPr="009B0BCA">
              <w:rPr>
                <w:sz w:val="18"/>
                <w:szCs w:val="18"/>
              </w:rPr>
              <w:t>na</w:t>
            </w:r>
          </w:p>
        </w:tc>
      </w:tr>
      <w:tr w:rsidR="009B0BCA" w:rsidRPr="001F1F3C" w14:paraId="0E17BD02" w14:textId="77777777" w:rsidTr="00FA26DB">
        <w:trPr>
          <w:trHeight w:val="312"/>
        </w:trPr>
        <w:tc>
          <w:tcPr>
            <w:tcW w:w="2539" w:type="dxa"/>
            <w:gridSpan w:val="2"/>
            <w:tcBorders>
              <w:top w:val="nil"/>
              <w:left w:val="nil"/>
              <w:bottom w:val="single" w:sz="8" w:space="0" w:color="FFFFFF"/>
              <w:right w:val="nil"/>
            </w:tcBorders>
            <w:shd w:val="clear" w:color="000000" w:fill="CAE7F3"/>
            <w:noWrap/>
            <w:hideMark/>
          </w:tcPr>
          <w:p w14:paraId="048B15F4" w14:textId="68569DA3" w:rsidR="009B0BCA" w:rsidRPr="009B0BCA" w:rsidRDefault="009B0BCA" w:rsidP="009B0BCA">
            <w:pPr>
              <w:spacing w:after="0" w:line="360" w:lineRule="auto"/>
              <w:ind w:left="0"/>
              <w:jc w:val="left"/>
              <w:rPr>
                <w:rFonts w:asciiTheme="minorHAnsi" w:eastAsia="Times New Roman" w:hAnsiTheme="minorHAnsi" w:cstheme="minorHAnsi"/>
                <w:b/>
                <w:bCs/>
                <w:sz w:val="18"/>
                <w:szCs w:val="18"/>
                <w:lang w:eastAsia="en-AU"/>
              </w:rPr>
            </w:pPr>
            <w:r w:rsidRPr="009B0BCA">
              <w:rPr>
                <w:b/>
                <w:sz w:val="18"/>
                <w:szCs w:val="18"/>
              </w:rPr>
              <w:t>Total</w:t>
            </w:r>
          </w:p>
        </w:tc>
        <w:tc>
          <w:tcPr>
            <w:tcW w:w="1005" w:type="dxa"/>
            <w:tcBorders>
              <w:top w:val="nil"/>
              <w:left w:val="nil"/>
              <w:bottom w:val="nil"/>
              <w:right w:val="nil"/>
            </w:tcBorders>
            <w:shd w:val="clear" w:color="000000" w:fill="CAE7F3"/>
            <w:noWrap/>
            <w:hideMark/>
          </w:tcPr>
          <w:p w14:paraId="66D5DC1F" w14:textId="03BA1BFB" w:rsidR="009B0BCA" w:rsidRPr="009B0BCA" w:rsidRDefault="009B0BCA" w:rsidP="009B0BCA">
            <w:pPr>
              <w:spacing w:after="0" w:line="360" w:lineRule="auto"/>
              <w:ind w:left="0"/>
              <w:jc w:val="right"/>
              <w:rPr>
                <w:rFonts w:asciiTheme="minorHAnsi" w:eastAsia="Times New Roman" w:hAnsiTheme="minorHAnsi" w:cstheme="minorHAnsi"/>
                <w:b/>
                <w:bCs/>
                <w:color w:val="595A5B" w:themeColor="accent5"/>
                <w:sz w:val="18"/>
                <w:szCs w:val="18"/>
                <w:lang w:eastAsia="en-AU"/>
              </w:rPr>
            </w:pPr>
            <w:r w:rsidRPr="009B0BCA">
              <w:rPr>
                <w:b/>
                <w:sz w:val="18"/>
                <w:szCs w:val="18"/>
              </w:rPr>
              <w:t>258,017</w:t>
            </w:r>
          </w:p>
        </w:tc>
        <w:tc>
          <w:tcPr>
            <w:tcW w:w="992" w:type="dxa"/>
            <w:gridSpan w:val="2"/>
            <w:tcBorders>
              <w:top w:val="nil"/>
              <w:left w:val="nil"/>
              <w:bottom w:val="nil"/>
              <w:right w:val="nil"/>
            </w:tcBorders>
            <w:shd w:val="clear" w:color="000000" w:fill="CAE7F3"/>
            <w:noWrap/>
            <w:hideMark/>
          </w:tcPr>
          <w:p w14:paraId="356A9117" w14:textId="6EC84C21" w:rsidR="009B0BCA" w:rsidRPr="009B0BCA" w:rsidRDefault="009B0BCA" w:rsidP="009B0BCA">
            <w:pPr>
              <w:spacing w:after="0" w:line="360" w:lineRule="auto"/>
              <w:ind w:left="0"/>
              <w:jc w:val="right"/>
              <w:rPr>
                <w:rFonts w:asciiTheme="minorHAnsi" w:eastAsia="Times New Roman" w:hAnsiTheme="minorHAnsi" w:cstheme="minorHAnsi"/>
                <w:b/>
                <w:bCs/>
                <w:color w:val="595A5B" w:themeColor="accent5"/>
                <w:sz w:val="18"/>
                <w:szCs w:val="18"/>
                <w:lang w:eastAsia="en-AU"/>
              </w:rPr>
            </w:pPr>
            <w:r w:rsidRPr="009B0BCA">
              <w:rPr>
                <w:b/>
                <w:sz w:val="18"/>
                <w:szCs w:val="18"/>
              </w:rPr>
              <w:t>100</w:t>
            </w:r>
          </w:p>
        </w:tc>
        <w:tc>
          <w:tcPr>
            <w:tcW w:w="278" w:type="dxa"/>
            <w:tcBorders>
              <w:top w:val="nil"/>
              <w:left w:val="nil"/>
              <w:bottom w:val="nil"/>
              <w:right w:val="nil"/>
            </w:tcBorders>
            <w:shd w:val="clear" w:color="000000" w:fill="CAE7F3"/>
            <w:noWrap/>
            <w:hideMark/>
          </w:tcPr>
          <w:p w14:paraId="544CF48C" w14:textId="77777777" w:rsidR="009B0BCA" w:rsidRPr="009B0BCA" w:rsidRDefault="009B0BCA" w:rsidP="009B0BCA">
            <w:pPr>
              <w:spacing w:after="0" w:line="360" w:lineRule="auto"/>
              <w:ind w:left="0"/>
              <w:jc w:val="right"/>
              <w:rPr>
                <w:rFonts w:asciiTheme="minorHAnsi" w:eastAsia="Times New Roman" w:hAnsiTheme="minorHAnsi" w:cstheme="minorHAnsi"/>
                <w:b/>
                <w:bCs/>
                <w:color w:val="595A5B" w:themeColor="accent5"/>
                <w:sz w:val="18"/>
                <w:szCs w:val="18"/>
                <w:lang w:eastAsia="en-AU"/>
              </w:rPr>
            </w:pPr>
          </w:p>
        </w:tc>
        <w:tc>
          <w:tcPr>
            <w:tcW w:w="1055" w:type="dxa"/>
            <w:tcBorders>
              <w:top w:val="nil"/>
              <w:left w:val="nil"/>
              <w:bottom w:val="nil"/>
              <w:right w:val="nil"/>
            </w:tcBorders>
            <w:shd w:val="clear" w:color="000000" w:fill="CAE7F3"/>
            <w:noWrap/>
            <w:hideMark/>
          </w:tcPr>
          <w:p w14:paraId="274E8CDB" w14:textId="539EADBC" w:rsidR="009B0BCA" w:rsidRPr="009B0BCA" w:rsidRDefault="009B0BCA" w:rsidP="009B0BCA">
            <w:pPr>
              <w:spacing w:after="0" w:line="360" w:lineRule="auto"/>
              <w:ind w:left="0"/>
              <w:jc w:val="right"/>
              <w:rPr>
                <w:rFonts w:asciiTheme="minorHAnsi" w:eastAsia="Times New Roman" w:hAnsiTheme="minorHAnsi" w:cstheme="minorHAnsi"/>
                <w:b/>
                <w:color w:val="595A5B" w:themeColor="accent5"/>
                <w:sz w:val="18"/>
                <w:szCs w:val="18"/>
                <w:lang w:eastAsia="en-AU"/>
              </w:rPr>
            </w:pPr>
            <w:r w:rsidRPr="009B0BCA">
              <w:rPr>
                <w:b/>
                <w:sz w:val="18"/>
                <w:szCs w:val="18"/>
              </w:rPr>
              <w:t>0.2</w:t>
            </w:r>
          </w:p>
        </w:tc>
        <w:tc>
          <w:tcPr>
            <w:tcW w:w="1077" w:type="dxa"/>
            <w:tcBorders>
              <w:top w:val="nil"/>
              <w:left w:val="nil"/>
              <w:bottom w:val="nil"/>
              <w:right w:val="nil"/>
            </w:tcBorders>
            <w:shd w:val="clear" w:color="000000" w:fill="CAE7F3"/>
            <w:noWrap/>
            <w:hideMark/>
          </w:tcPr>
          <w:p w14:paraId="0B7E79EA" w14:textId="58B63E24" w:rsidR="009B0BCA" w:rsidRPr="009B0BCA" w:rsidRDefault="009B0BCA" w:rsidP="009B0BCA">
            <w:pPr>
              <w:spacing w:after="0" w:line="360" w:lineRule="auto"/>
              <w:ind w:left="0"/>
              <w:jc w:val="right"/>
              <w:rPr>
                <w:rFonts w:asciiTheme="minorHAnsi" w:eastAsia="Times New Roman" w:hAnsiTheme="minorHAnsi" w:cstheme="minorHAnsi"/>
                <w:b/>
                <w:bCs/>
                <w:color w:val="595A5B" w:themeColor="accent5"/>
                <w:sz w:val="18"/>
                <w:szCs w:val="18"/>
                <w:lang w:eastAsia="en-AU"/>
              </w:rPr>
            </w:pPr>
            <w:r w:rsidRPr="009B0BCA">
              <w:rPr>
                <w:b/>
                <w:sz w:val="18"/>
                <w:szCs w:val="18"/>
              </w:rPr>
              <w:t>0.7</w:t>
            </w:r>
          </w:p>
        </w:tc>
      </w:tr>
    </w:tbl>
    <w:p w14:paraId="3FBAB5A4" w14:textId="77777777" w:rsidR="00153764" w:rsidRPr="001F1F3C" w:rsidRDefault="00153764" w:rsidP="00153764">
      <w:pPr>
        <w:pStyle w:val="Source"/>
        <w:rPr>
          <w:color w:val="595A5B" w:themeColor="text2"/>
        </w:rPr>
      </w:pPr>
      <w:r w:rsidRPr="001F1F3C">
        <w:rPr>
          <w:color w:val="595A5B" w:themeColor="text2"/>
        </w:rPr>
        <w:t xml:space="preserve">Source: </w:t>
      </w:r>
      <w:r w:rsidRPr="001F1F3C">
        <w:rPr>
          <w:color w:val="595A5B" w:themeColor="text2"/>
          <w:szCs w:val="16"/>
        </w:rPr>
        <w:t xml:space="preserve">Department of the Environment and Energy (2018) </w:t>
      </w:r>
      <w:r w:rsidRPr="001F1F3C">
        <w:rPr>
          <w:i/>
          <w:color w:val="595A5B" w:themeColor="text2"/>
          <w:szCs w:val="16"/>
        </w:rPr>
        <w:t>Australian Energy Statistics</w:t>
      </w:r>
      <w:r w:rsidRPr="001F1F3C">
        <w:rPr>
          <w:color w:val="595A5B" w:themeColor="text2"/>
          <w:szCs w:val="16"/>
        </w:rPr>
        <w:t xml:space="preserve">, </w:t>
      </w:r>
      <w:r w:rsidRPr="001F1F3C">
        <w:rPr>
          <w:color w:val="595A5B" w:themeColor="text2"/>
          <w:szCs w:val="16"/>
        </w:rPr>
        <w:br/>
        <w:t>Table O</w:t>
      </w:r>
    </w:p>
    <w:p w14:paraId="0C8D8207" w14:textId="36B5C0D0" w:rsidR="00F80402" w:rsidRDefault="00F80402" w:rsidP="00F80402">
      <w:pPr>
        <w:pStyle w:val="BodyText"/>
        <w:spacing w:after="0"/>
      </w:pPr>
      <w:r w:rsidRPr="001F1F3C">
        <w:t>Wind contribut</w:t>
      </w:r>
      <w:r>
        <w:t>ed</w:t>
      </w:r>
      <w:r w:rsidRPr="001F1F3C">
        <w:t xml:space="preserve"> 31 per cent of renewable electricity </w:t>
      </w:r>
      <w:r>
        <w:t xml:space="preserve">in 2016–17 </w:t>
      </w:r>
      <w:r w:rsidRPr="001F1F3C">
        <w:t>and 5 per cent of total electricity generation in Australia. Wind generation rose by 3 per cent in 2016–17. Wind generation continues to be particularly prevalent in South Australia, accounting for over one-third of the total generation mix in that state for the past two years</w:t>
      </w:r>
      <w:r>
        <w:t>.</w:t>
      </w:r>
    </w:p>
    <w:p w14:paraId="368EE8A8" w14:textId="36A151C6" w:rsidR="00DF3E58" w:rsidRDefault="00153764" w:rsidP="00DF3E58">
      <w:pPr>
        <w:pStyle w:val="BodyText"/>
        <w:spacing w:before="180"/>
      </w:pPr>
      <w:r w:rsidRPr="001F1F3C">
        <w:t xml:space="preserve">Solar generation continued to grow strongly in 2016–17, by 18 per cent, and accounted for 3 per cent of total electricity generation in Australia. Growth in large scale installations remained strong at 47 per cent. This growth largely came from existing facilities ramping up production, after the introduction of several new facilities in the previous year. However, this growth was from a small base, and </w:t>
      </w:r>
      <w:r w:rsidR="0044181E">
        <w:t xml:space="preserve">small scale </w:t>
      </w:r>
      <w:r w:rsidRPr="001F1F3C">
        <w:t>rooftop solar PV installations continue to make up the vast majority of total solar generation in Australia.</w:t>
      </w:r>
      <w:r w:rsidR="00DF3E58" w:rsidRPr="00DF3E58">
        <w:t xml:space="preserve"> </w:t>
      </w:r>
    </w:p>
    <w:p w14:paraId="3872D9C2" w14:textId="2A1875AD" w:rsidR="00DF3E58" w:rsidRPr="001F1F3C" w:rsidRDefault="00DF3E58" w:rsidP="00DF3E58">
      <w:pPr>
        <w:pStyle w:val="BodyText"/>
        <w:spacing w:before="180"/>
      </w:pPr>
      <w:r>
        <w:lastRenderedPageBreak/>
        <w:t xml:space="preserve">Among </w:t>
      </w:r>
      <w:r w:rsidRPr="00835DA8">
        <w:t xml:space="preserve">bioenergy sources, generation from bagasse during 2016–17 was lower than the previous year, with more bagasse being used </w:t>
      </w:r>
      <w:r w:rsidR="00835DA8">
        <w:t xml:space="preserve">by the food manufacturing sector </w:t>
      </w:r>
      <w:r w:rsidRPr="00835DA8">
        <w:t xml:space="preserve">for </w:t>
      </w:r>
      <w:r w:rsidR="00835DA8">
        <w:t xml:space="preserve">other </w:t>
      </w:r>
      <w:r w:rsidRPr="00835DA8">
        <w:t>stationery energy purposes.</w:t>
      </w:r>
    </w:p>
    <w:p w14:paraId="0B2B5DC6" w14:textId="23C8A88D" w:rsidR="001F4600" w:rsidRPr="001F1F3C" w:rsidRDefault="00C1400E" w:rsidP="00082FE6">
      <w:pPr>
        <w:pStyle w:val="Caption"/>
        <w:ind w:left="-1985"/>
      </w:pPr>
      <w:bookmarkStart w:id="145" w:name="_Toc522198894"/>
      <w:bookmarkStart w:id="146" w:name="_Toc522199914"/>
      <w:bookmarkStart w:id="147" w:name="_Toc523777429"/>
      <w:r>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3</w:t>
      </w:r>
      <w:r w:rsidR="00941B67">
        <w:rPr>
          <w:noProof/>
        </w:rPr>
        <w:fldChar w:fldCharType="end"/>
      </w:r>
      <w:r w:rsidR="003348D2">
        <w:t>.</w:t>
      </w:r>
      <w:r w:rsidR="00941B67">
        <w:rPr>
          <w:noProof/>
        </w:rPr>
        <w:fldChar w:fldCharType="begin"/>
      </w:r>
      <w:r w:rsidR="00941B67">
        <w:rPr>
          <w:noProof/>
        </w:rPr>
        <w:instrText xml:space="preserve"> SEQ Figure \* ARABIC \s 1 </w:instrText>
      </w:r>
      <w:r w:rsidR="00941B67">
        <w:rPr>
          <w:noProof/>
        </w:rPr>
        <w:fldChar w:fldCharType="separate"/>
      </w:r>
      <w:r w:rsidR="00D72ABB">
        <w:rPr>
          <w:noProof/>
        </w:rPr>
        <w:t>6</w:t>
      </w:r>
      <w:r w:rsidR="00941B67">
        <w:rPr>
          <w:noProof/>
        </w:rPr>
        <w:fldChar w:fldCharType="end"/>
      </w:r>
      <w:r>
        <w:t xml:space="preserve">: </w:t>
      </w:r>
      <w:r w:rsidR="001F4600" w:rsidRPr="001F1F3C">
        <w:t>Australian electricity generation from renewable sources</w:t>
      </w:r>
      <w:bookmarkEnd w:id="145"/>
      <w:bookmarkEnd w:id="146"/>
      <w:bookmarkEnd w:id="147"/>
    </w:p>
    <w:tbl>
      <w:tblPr>
        <w:tblStyle w:val="OCETable"/>
        <w:tblW w:w="6379" w:type="pct"/>
        <w:tblInd w:w="-1877" w:type="dxa"/>
        <w:tblLayout w:type="fixed"/>
        <w:tblLook w:val="04A0" w:firstRow="1" w:lastRow="0" w:firstColumn="1" w:lastColumn="0" w:noHBand="0" w:noVBand="1"/>
        <w:tblCaption w:val="Placeholder obejct only"/>
      </w:tblPr>
      <w:tblGrid>
        <w:gridCol w:w="8795"/>
      </w:tblGrid>
      <w:tr w:rsidR="001F4600" w:rsidRPr="001F1F3C" w14:paraId="6EE8741B" w14:textId="77777777" w:rsidTr="00BA2B25">
        <w:trPr>
          <w:cnfStyle w:val="100000000000" w:firstRow="1" w:lastRow="0" w:firstColumn="0" w:lastColumn="0" w:oddVBand="0" w:evenVBand="0" w:oddHBand="0" w:evenHBand="0" w:firstRowFirstColumn="0" w:firstRowLastColumn="0" w:lastRowFirstColumn="0" w:lastRowLastColumn="0"/>
          <w:tblHeader/>
        </w:trPr>
        <w:tc>
          <w:tcPr>
            <w:tcW w:w="8795" w:type="dxa"/>
            <w:shd w:val="clear" w:color="auto" w:fill="auto"/>
          </w:tcPr>
          <w:p w14:paraId="19B925B6" w14:textId="0CBE92DC" w:rsidR="001F4600" w:rsidRPr="001F1F3C" w:rsidRDefault="00BB4A04" w:rsidP="00CE20B0">
            <w:pPr>
              <w:pStyle w:val="PlaceholderWide"/>
              <w:ind w:left="-1985"/>
              <w:jc w:val="right"/>
            </w:pPr>
            <w:r>
              <w:rPr>
                <w:noProof/>
                <w:lang w:eastAsia="en-AU"/>
              </w:rPr>
              <w:drawing>
                <wp:inline distT="0" distB="0" distL="0" distR="0" wp14:anchorId="58B4B1C8" wp14:editId="5F5BBFCF">
                  <wp:extent cx="5407660" cy="3249295"/>
                  <wp:effectExtent l="0" t="0" r="2540" b="8255"/>
                  <wp:docPr id="11" name="Picture 11" descr="The figure shows Australian electricity generation from renewable sources in gigawatt hours from 1991-92 to 2016-17" title="Figure 3.6: Australian electricity generation from renewable 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7660" cy="3249295"/>
                          </a:xfrm>
                          <a:prstGeom prst="rect">
                            <a:avLst/>
                          </a:prstGeom>
                          <a:noFill/>
                        </pic:spPr>
                      </pic:pic>
                    </a:graphicData>
                  </a:graphic>
                </wp:inline>
              </w:drawing>
            </w:r>
          </w:p>
        </w:tc>
      </w:tr>
    </w:tbl>
    <w:p w14:paraId="66BB2A77" w14:textId="6B57DB77" w:rsidR="001F4600" w:rsidRPr="001F1F3C" w:rsidRDefault="001F4600" w:rsidP="00FA4A5B">
      <w:pPr>
        <w:pStyle w:val="SourceWide"/>
        <w:rPr>
          <w:color w:val="595A5B" w:themeColor="text2"/>
        </w:rPr>
      </w:pPr>
      <w:r w:rsidRPr="001F1F3C">
        <w:rPr>
          <w:color w:val="595A5B" w:themeColor="text2"/>
        </w:rPr>
        <w:t xml:space="preserve">Source: </w:t>
      </w:r>
      <w:r w:rsidRPr="001F1F3C">
        <w:rPr>
          <w:color w:val="595A5B" w:themeColor="text2"/>
          <w:szCs w:val="16"/>
        </w:rPr>
        <w:t xml:space="preserve">Department of </w:t>
      </w:r>
      <w:r w:rsidR="005A4AAD" w:rsidRPr="001F1F3C">
        <w:rPr>
          <w:color w:val="595A5B" w:themeColor="text2"/>
          <w:szCs w:val="16"/>
        </w:rPr>
        <w:t>the Environment and Energy</w:t>
      </w:r>
      <w:r w:rsidRPr="001F1F3C">
        <w:rPr>
          <w:color w:val="595A5B" w:themeColor="text2"/>
          <w:szCs w:val="16"/>
        </w:rPr>
        <w:t xml:space="preserve"> (</w:t>
      </w:r>
      <w:r w:rsidR="003F2CCE" w:rsidRPr="001F1F3C">
        <w:rPr>
          <w:color w:val="595A5B" w:themeColor="text2"/>
          <w:szCs w:val="16"/>
        </w:rPr>
        <w:t>2018</w:t>
      </w:r>
      <w:r w:rsidRPr="001F1F3C">
        <w:rPr>
          <w:color w:val="595A5B" w:themeColor="text2"/>
          <w:szCs w:val="16"/>
        </w:rPr>
        <w:t xml:space="preserve">) </w:t>
      </w:r>
      <w:r w:rsidRPr="001F1F3C">
        <w:rPr>
          <w:i/>
          <w:color w:val="595A5B" w:themeColor="text2"/>
          <w:szCs w:val="16"/>
        </w:rPr>
        <w:t>Australian Energy Statistics</w:t>
      </w:r>
      <w:r w:rsidRPr="001F1F3C">
        <w:rPr>
          <w:color w:val="595A5B" w:themeColor="text2"/>
          <w:szCs w:val="16"/>
        </w:rPr>
        <w:t>, Table O</w:t>
      </w:r>
    </w:p>
    <w:p w14:paraId="3558FE68" w14:textId="248B66D5" w:rsidR="00BA39B4" w:rsidRPr="001F1F3C" w:rsidRDefault="00BA39B4" w:rsidP="00BA39B4">
      <w:pPr>
        <w:pStyle w:val="Heading2"/>
      </w:pPr>
      <w:bookmarkStart w:id="148" w:name="_Toc522197032"/>
      <w:bookmarkStart w:id="149" w:name="_Toc522633193"/>
      <w:r w:rsidRPr="001F1F3C">
        <w:t xml:space="preserve">Electricity generation in </w:t>
      </w:r>
      <w:r w:rsidR="006337E4" w:rsidRPr="001F1F3C">
        <w:t>calendar</w:t>
      </w:r>
      <w:r w:rsidRPr="001F1F3C">
        <w:t xml:space="preserve"> year 201</w:t>
      </w:r>
      <w:r w:rsidR="00AB41F4" w:rsidRPr="001F1F3C">
        <w:t>7</w:t>
      </w:r>
      <w:bookmarkEnd w:id="148"/>
      <w:bookmarkEnd w:id="149"/>
    </w:p>
    <w:p w14:paraId="3224BA31" w14:textId="171A142B" w:rsidR="00BA39B4" w:rsidRPr="001F1F3C" w:rsidRDefault="008B7E8C" w:rsidP="00BA39B4">
      <w:pPr>
        <w:pStyle w:val="BodyText"/>
        <w:spacing w:before="180"/>
      </w:pPr>
      <w:r>
        <w:t>E</w:t>
      </w:r>
      <w:r w:rsidR="00BA39B4" w:rsidRPr="001F1F3C">
        <w:t xml:space="preserve">stimates of electricity generation were published </w:t>
      </w:r>
      <w:r>
        <w:t>i</w:t>
      </w:r>
      <w:r w:rsidRPr="001F1F3C">
        <w:t>n May 201</w:t>
      </w:r>
      <w:r>
        <w:t>8</w:t>
      </w:r>
      <w:r w:rsidRPr="001F1F3C">
        <w:t xml:space="preserve"> </w:t>
      </w:r>
      <w:r w:rsidR="00BA39B4" w:rsidRPr="001F1F3C">
        <w:t>for the 201</w:t>
      </w:r>
      <w:r w:rsidR="004E659A">
        <w:t>7</w:t>
      </w:r>
      <w:r w:rsidR="00BA39B4" w:rsidRPr="001F1F3C">
        <w:t xml:space="preserve"> calendar year, to</w:t>
      </w:r>
      <w:r w:rsidR="001F5777" w:rsidRPr="001F1F3C">
        <w:t xml:space="preserve"> improve the availability of up-to-</w:t>
      </w:r>
      <w:r w:rsidR="00BA39B4" w:rsidRPr="001F1F3C">
        <w:t>date official data on total generation in Australia.</w:t>
      </w:r>
      <w:r w:rsidR="00D47B97" w:rsidRPr="001F1F3C">
        <w:t xml:space="preserve"> </w:t>
      </w:r>
      <w:r w:rsidR="00BA39B4" w:rsidRPr="001F1F3C">
        <w:t>Total electricity generation in Australia was estimated to be 25</w:t>
      </w:r>
      <w:r w:rsidR="00C276D2" w:rsidRPr="001F1F3C">
        <w:t>9</w:t>
      </w:r>
      <w:r w:rsidR="00207F42">
        <w:t xml:space="preserve"> tera</w:t>
      </w:r>
      <w:r w:rsidR="00BA39B4" w:rsidRPr="001F1F3C">
        <w:t>watt hours in calendar year 201</w:t>
      </w:r>
      <w:r w:rsidR="00C276D2" w:rsidRPr="001F1F3C">
        <w:t>7</w:t>
      </w:r>
      <w:r w:rsidR="00BA39B4" w:rsidRPr="001F1F3C">
        <w:t xml:space="preserve">, an increase of approximately </w:t>
      </w:r>
      <w:r w:rsidR="00C276D2" w:rsidRPr="001F1F3C">
        <w:t>1 per cent compared with 2016</w:t>
      </w:r>
      <w:r w:rsidR="009A5192" w:rsidRPr="001F1F3C">
        <w:t xml:space="preserve"> (Table </w:t>
      </w:r>
      <w:r w:rsidR="00823AE6">
        <w:t>3</w:t>
      </w:r>
      <w:r w:rsidR="009A5192" w:rsidRPr="001F1F3C">
        <w:t>.3)</w:t>
      </w:r>
      <w:r w:rsidR="00BA39B4" w:rsidRPr="001F1F3C">
        <w:t>.</w:t>
      </w:r>
    </w:p>
    <w:p w14:paraId="4607BE8B" w14:textId="368B18D5" w:rsidR="00BA39B4" w:rsidRPr="001F1F3C" w:rsidRDefault="00BA39B4" w:rsidP="00BA39B4">
      <w:pPr>
        <w:pStyle w:val="BodyText"/>
        <w:spacing w:before="180"/>
      </w:pPr>
      <w:r w:rsidRPr="001F1F3C">
        <w:t xml:space="preserve">Non-renewable sources contributed </w:t>
      </w:r>
      <w:r w:rsidR="00867656" w:rsidRPr="001F1F3C">
        <w:t xml:space="preserve">220 </w:t>
      </w:r>
      <w:r w:rsidR="008B7E8C">
        <w:t>ter</w:t>
      </w:r>
      <w:r w:rsidRPr="001F1F3C">
        <w:t>awatt hours (8</w:t>
      </w:r>
      <w:r w:rsidR="00867656" w:rsidRPr="001F1F3C">
        <w:t>5</w:t>
      </w:r>
      <w:r w:rsidRPr="001F1F3C">
        <w:t xml:space="preserve"> per cent) of total electricity generation in 201</w:t>
      </w:r>
      <w:r w:rsidR="00867656" w:rsidRPr="001F1F3C">
        <w:t>7</w:t>
      </w:r>
      <w:r w:rsidRPr="001F1F3C">
        <w:t>, a decrease of 1.</w:t>
      </w:r>
      <w:r w:rsidR="00481CAF" w:rsidRPr="001F1F3C">
        <w:t>4</w:t>
      </w:r>
      <w:r w:rsidR="008B7E8C">
        <w:t xml:space="preserve"> per cent compared with 2016</w:t>
      </w:r>
      <w:r w:rsidRPr="001F1F3C">
        <w:t xml:space="preserve">. Coal </w:t>
      </w:r>
      <w:r w:rsidR="00E83694" w:rsidRPr="001F1F3C">
        <w:t>continued</w:t>
      </w:r>
      <w:r w:rsidR="001F5777" w:rsidRPr="001F1F3C">
        <w:t xml:space="preserve"> to account</w:t>
      </w:r>
      <w:r w:rsidRPr="001F1F3C">
        <w:t xml:space="preserve"> for the majority of electricity generation</w:t>
      </w:r>
      <w:r w:rsidR="001F5777" w:rsidRPr="001F1F3C">
        <w:t>,</w:t>
      </w:r>
      <w:r w:rsidRPr="001F1F3C">
        <w:t xml:space="preserve"> at 6</w:t>
      </w:r>
      <w:r w:rsidR="00481CAF" w:rsidRPr="001F1F3C">
        <w:t>1</w:t>
      </w:r>
      <w:r w:rsidR="001F5777" w:rsidRPr="001F1F3C">
        <w:t> </w:t>
      </w:r>
      <w:r w:rsidR="00E974F9">
        <w:t>per </w:t>
      </w:r>
      <w:r w:rsidRPr="001F1F3C">
        <w:t xml:space="preserve">cent of total generation in </w:t>
      </w:r>
      <w:r w:rsidR="00481CAF" w:rsidRPr="001F1F3C">
        <w:t>2017</w:t>
      </w:r>
      <w:r w:rsidRPr="001F1F3C">
        <w:t>. Gas</w:t>
      </w:r>
      <w:r w:rsidR="0044181E">
        <w:t>-</w:t>
      </w:r>
      <w:r w:rsidRPr="001F1F3C">
        <w:t xml:space="preserve">fired generation </w:t>
      </w:r>
      <w:r w:rsidR="00481CAF" w:rsidRPr="001F1F3C">
        <w:t>increased</w:t>
      </w:r>
      <w:r w:rsidRPr="001F1F3C">
        <w:t xml:space="preserve"> in </w:t>
      </w:r>
      <w:r w:rsidR="00481CAF" w:rsidRPr="001F1F3C">
        <w:t>2017</w:t>
      </w:r>
      <w:r w:rsidRPr="001F1F3C">
        <w:t xml:space="preserve">, to represent </w:t>
      </w:r>
      <w:r w:rsidR="00481CAF" w:rsidRPr="001F1F3C">
        <w:t>21</w:t>
      </w:r>
      <w:r w:rsidRPr="001F1F3C">
        <w:t xml:space="preserve"> per cent of total generation.</w:t>
      </w:r>
    </w:p>
    <w:p w14:paraId="3225C50C" w14:textId="44A87384" w:rsidR="00BA39B4" w:rsidRPr="001F1F3C" w:rsidRDefault="00BA39B4" w:rsidP="00BA39B4">
      <w:pPr>
        <w:pStyle w:val="BodyText"/>
        <w:spacing w:before="180"/>
      </w:pPr>
      <w:r w:rsidRPr="001F1F3C">
        <w:t xml:space="preserve">Renewable sources contributed </w:t>
      </w:r>
      <w:r w:rsidR="005B4A17" w:rsidRPr="001F1F3C">
        <w:t>39</w:t>
      </w:r>
      <w:r w:rsidR="007031C2">
        <w:t xml:space="preserve"> tera</w:t>
      </w:r>
      <w:r w:rsidRPr="001F1F3C">
        <w:t>watt hours</w:t>
      </w:r>
      <w:r w:rsidR="001F5777" w:rsidRPr="001F1F3C">
        <w:t xml:space="preserve">, or </w:t>
      </w:r>
      <w:r w:rsidR="005B4A17" w:rsidRPr="001F1F3C">
        <w:t xml:space="preserve">about 15 </w:t>
      </w:r>
      <w:r w:rsidRPr="001F1F3C">
        <w:t>per cent of total electricity generation in 201</w:t>
      </w:r>
      <w:r w:rsidR="005B4A17" w:rsidRPr="001F1F3C">
        <w:t>7</w:t>
      </w:r>
      <w:r w:rsidR="007031C2">
        <w:t xml:space="preserve">. </w:t>
      </w:r>
      <w:r w:rsidRPr="001F1F3C">
        <w:t>The largest source of renewable generation was hydro (</w:t>
      </w:r>
      <w:r w:rsidR="005B4A17" w:rsidRPr="001F1F3C">
        <w:t>5</w:t>
      </w:r>
      <w:r w:rsidR="001F5777" w:rsidRPr="001F1F3C">
        <w:t> </w:t>
      </w:r>
      <w:r w:rsidRPr="001F1F3C">
        <w:t>per cent of total generation)</w:t>
      </w:r>
      <w:r w:rsidR="001F5777" w:rsidRPr="001F1F3C">
        <w:t>,</w:t>
      </w:r>
      <w:r w:rsidRPr="001F1F3C">
        <w:t xml:space="preserve"> followed by wind (</w:t>
      </w:r>
      <w:r w:rsidR="007031C2">
        <w:t>5</w:t>
      </w:r>
      <w:r w:rsidRPr="001F1F3C">
        <w:t xml:space="preserve"> per cent) and </w:t>
      </w:r>
      <w:r w:rsidR="00323F2D">
        <w:t xml:space="preserve">small-scale </w:t>
      </w:r>
      <w:r w:rsidRPr="001F1F3C">
        <w:t>solar (3 per cent).</w:t>
      </w:r>
      <w:r w:rsidR="007031C2">
        <w:t xml:space="preserve"> </w:t>
      </w:r>
      <w:r w:rsidR="0044181E">
        <w:t>R</w:t>
      </w:r>
      <w:r w:rsidR="007031C2">
        <w:t xml:space="preserve">enewable generation decreased by 7 per cent </w:t>
      </w:r>
      <w:r w:rsidR="0044181E">
        <w:t xml:space="preserve">in 2017 </w:t>
      </w:r>
      <w:r w:rsidR="007031C2">
        <w:t xml:space="preserve">from 42 terawatt hours in </w:t>
      </w:r>
      <w:r w:rsidR="007031C2" w:rsidRPr="001F1F3C">
        <w:t>2016</w:t>
      </w:r>
      <w:r w:rsidR="007031C2">
        <w:t>, with a steep decline in hydro generation and slight drop in wind generation offsetting growth in other sources.</w:t>
      </w:r>
    </w:p>
    <w:p w14:paraId="6E051C12" w14:textId="52FBCA91" w:rsidR="005813AA" w:rsidRPr="001F1F3C" w:rsidRDefault="00580D41" w:rsidP="00632B3C">
      <w:pPr>
        <w:pStyle w:val="BodyText"/>
        <w:spacing w:before="180"/>
      </w:pPr>
      <w:r w:rsidRPr="001F1F3C">
        <w:t>Generation varies quite a lot across Australia. In 201</w:t>
      </w:r>
      <w:r w:rsidR="005B4A17" w:rsidRPr="001F1F3C">
        <w:t>7</w:t>
      </w:r>
      <w:r w:rsidRPr="001F1F3C">
        <w:t>, more than 70 per cent of electricity generation in Queensland, New South Wales and Victoria was coal fired</w:t>
      </w:r>
      <w:r w:rsidR="00870F73">
        <w:t xml:space="preserve"> (Figure 3</w:t>
      </w:r>
      <w:r w:rsidR="009A5192" w:rsidRPr="001F1F3C">
        <w:t>.</w:t>
      </w:r>
      <w:r w:rsidR="008B7E8C">
        <w:t>7</w:t>
      </w:r>
      <w:r w:rsidR="009A5192" w:rsidRPr="001F1F3C">
        <w:t>)</w:t>
      </w:r>
      <w:r w:rsidRPr="001F1F3C">
        <w:t xml:space="preserve">. In Victoria, brown coal’s share was </w:t>
      </w:r>
      <w:r w:rsidR="005B4A17" w:rsidRPr="001F1F3C">
        <w:t>77</w:t>
      </w:r>
      <w:r w:rsidR="00E974F9">
        <w:t> per </w:t>
      </w:r>
      <w:r w:rsidRPr="001F1F3C">
        <w:t>cent in 201</w:t>
      </w:r>
      <w:r w:rsidR="005B4A17" w:rsidRPr="001F1F3C">
        <w:t>7, down from 84 per cent in 2016</w:t>
      </w:r>
      <w:r w:rsidRPr="001F1F3C">
        <w:t xml:space="preserve">. </w:t>
      </w:r>
      <w:r w:rsidR="005B4A17" w:rsidRPr="001F1F3C">
        <w:t xml:space="preserve">This is largely attributable to the closure of </w:t>
      </w:r>
      <w:r w:rsidR="005B4A17" w:rsidRPr="001F1F3C">
        <w:lastRenderedPageBreak/>
        <w:t>Hazelwood in early 2017</w:t>
      </w:r>
      <w:r w:rsidRPr="001F1F3C">
        <w:t xml:space="preserve">. Gas accounted for </w:t>
      </w:r>
      <w:r w:rsidR="005B4A17" w:rsidRPr="001F1F3C">
        <w:t xml:space="preserve">the </w:t>
      </w:r>
      <w:r w:rsidRPr="001F1F3C">
        <w:t xml:space="preserve">majority of generation in Western Australia and </w:t>
      </w:r>
      <w:r w:rsidR="005B4A17" w:rsidRPr="001F1F3C">
        <w:t xml:space="preserve">the </w:t>
      </w:r>
      <w:r w:rsidRPr="001F1F3C">
        <w:t xml:space="preserve">Northern Territory, and Western Australia accounted for </w:t>
      </w:r>
      <w:r w:rsidR="005B4A17" w:rsidRPr="001F1F3C">
        <w:t>40 per cent</w:t>
      </w:r>
      <w:r w:rsidRPr="001F1F3C">
        <w:t xml:space="preserve"> </w:t>
      </w:r>
      <w:r w:rsidR="00632B3C">
        <w:t xml:space="preserve">of </w:t>
      </w:r>
      <w:r w:rsidR="0044181E">
        <w:t>Australia’s gas-f</w:t>
      </w:r>
      <w:r w:rsidRPr="001F1F3C">
        <w:t>ired generation</w:t>
      </w:r>
      <w:r w:rsidR="009A5192" w:rsidRPr="001F1F3C">
        <w:t xml:space="preserve"> in 201</w:t>
      </w:r>
      <w:r w:rsidR="005B4A17" w:rsidRPr="001F1F3C">
        <w:t>7</w:t>
      </w:r>
      <w:r w:rsidRPr="001F1F3C">
        <w:t>.</w:t>
      </w:r>
    </w:p>
    <w:p w14:paraId="5512E004" w14:textId="4B70D9D3" w:rsidR="005813AA" w:rsidRPr="001F1F3C" w:rsidRDefault="00580D41" w:rsidP="00580D41">
      <w:pPr>
        <w:pStyle w:val="BodyText"/>
        <w:spacing w:before="180"/>
      </w:pPr>
      <w:r w:rsidRPr="001F1F3C">
        <w:t>Renewable energy</w:t>
      </w:r>
      <w:r w:rsidR="009A5192" w:rsidRPr="001F1F3C">
        <w:t>’s</w:t>
      </w:r>
      <w:r w:rsidRPr="001F1F3C">
        <w:t xml:space="preserve"> share was </w:t>
      </w:r>
      <w:r w:rsidR="005B4A17" w:rsidRPr="001F1F3C">
        <w:t xml:space="preserve">87 </w:t>
      </w:r>
      <w:r w:rsidRPr="001F1F3C">
        <w:t xml:space="preserve">per cent in Tasmania and </w:t>
      </w:r>
      <w:r w:rsidR="005B4A17" w:rsidRPr="001F1F3C">
        <w:t xml:space="preserve">43 </w:t>
      </w:r>
      <w:r w:rsidRPr="001F1F3C">
        <w:t>per cent in South Australia in 201</w:t>
      </w:r>
      <w:r w:rsidR="005B4A17" w:rsidRPr="001F1F3C">
        <w:t>7</w:t>
      </w:r>
      <w:r w:rsidRPr="001F1F3C">
        <w:t xml:space="preserve">. In Tasmania, </w:t>
      </w:r>
      <w:r w:rsidR="000371B7">
        <w:t>this</w:t>
      </w:r>
      <w:r w:rsidRPr="001F1F3C">
        <w:t xml:space="preserve"> </w:t>
      </w:r>
      <w:r w:rsidR="009A5192" w:rsidRPr="001F1F3C">
        <w:t>was</w:t>
      </w:r>
      <w:r w:rsidRPr="001F1F3C">
        <w:t xml:space="preserve"> mainly hydro</w:t>
      </w:r>
      <w:r w:rsidR="000371B7">
        <w:t>, while in South Australia w</w:t>
      </w:r>
      <w:r w:rsidRPr="001F1F3C">
        <w:t xml:space="preserve">ind accounted for </w:t>
      </w:r>
      <w:r w:rsidR="005B4A17" w:rsidRPr="001F1F3C">
        <w:t xml:space="preserve">35 </w:t>
      </w:r>
      <w:r w:rsidRPr="001F1F3C">
        <w:t>per cent of generation</w:t>
      </w:r>
      <w:r w:rsidR="000371B7">
        <w:t xml:space="preserve">. </w:t>
      </w:r>
      <w:r w:rsidRPr="001F1F3C">
        <w:t>South Australia account</w:t>
      </w:r>
      <w:r w:rsidR="009A5192" w:rsidRPr="001F1F3C">
        <w:t>ed</w:t>
      </w:r>
      <w:r w:rsidRPr="001F1F3C">
        <w:t xml:space="preserve"> for </w:t>
      </w:r>
      <w:r w:rsidR="008B7E8C">
        <w:t xml:space="preserve">a little over </w:t>
      </w:r>
      <w:r w:rsidR="0044181E">
        <w:t>one-</w:t>
      </w:r>
      <w:r w:rsidR="008B7E8C">
        <w:t>third</w:t>
      </w:r>
      <w:r w:rsidRPr="001F1F3C">
        <w:t xml:space="preserve"> of total wind generation</w:t>
      </w:r>
      <w:r w:rsidR="005B4A17" w:rsidRPr="001F1F3C">
        <w:t xml:space="preserve"> in Australia</w:t>
      </w:r>
      <w:r w:rsidRPr="001F1F3C">
        <w:t xml:space="preserve">. Victoria </w:t>
      </w:r>
      <w:r w:rsidR="000371B7" w:rsidRPr="001F1F3C">
        <w:t xml:space="preserve">also </w:t>
      </w:r>
      <w:r w:rsidRPr="001F1F3C">
        <w:t>account</w:t>
      </w:r>
      <w:r w:rsidR="009A5192" w:rsidRPr="001F1F3C">
        <w:t>ed</w:t>
      </w:r>
      <w:r w:rsidRPr="001F1F3C">
        <w:t xml:space="preserve"> for nearly 30 per cent of </w:t>
      </w:r>
      <w:r w:rsidR="000371B7">
        <w:t xml:space="preserve">total </w:t>
      </w:r>
      <w:r w:rsidRPr="001F1F3C">
        <w:t>wind generation.</w:t>
      </w:r>
    </w:p>
    <w:p w14:paraId="5028CE7F" w14:textId="07413BFB" w:rsidR="000C00EB" w:rsidRPr="001F1F3C" w:rsidRDefault="00C1400E" w:rsidP="00082FE6">
      <w:pPr>
        <w:pStyle w:val="Caption"/>
      </w:pPr>
      <w:bookmarkStart w:id="150" w:name="_Toc522199780"/>
      <w:bookmarkStart w:id="151" w:name="_Toc522635724"/>
      <w:r>
        <w:t xml:space="preserve">Table </w:t>
      </w:r>
      <w:r w:rsidR="00941B67">
        <w:rPr>
          <w:noProof/>
        </w:rPr>
        <w:fldChar w:fldCharType="begin"/>
      </w:r>
      <w:r w:rsidR="00941B67">
        <w:rPr>
          <w:noProof/>
        </w:rPr>
        <w:instrText xml:space="preserve"> STYLEREF 1 \s </w:instrText>
      </w:r>
      <w:r w:rsidR="00941B67">
        <w:rPr>
          <w:noProof/>
        </w:rPr>
        <w:fldChar w:fldCharType="separate"/>
      </w:r>
      <w:r w:rsidR="00D72ABB">
        <w:rPr>
          <w:noProof/>
        </w:rPr>
        <w:t>3</w:t>
      </w:r>
      <w:r w:rsidR="00941B67">
        <w:rPr>
          <w:noProof/>
        </w:rPr>
        <w:fldChar w:fldCharType="end"/>
      </w:r>
      <w:r>
        <w:t>.</w:t>
      </w:r>
      <w:r w:rsidR="00941B67">
        <w:rPr>
          <w:noProof/>
        </w:rPr>
        <w:fldChar w:fldCharType="begin"/>
      </w:r>
      <w:r w:rsidR="00941B67">
        <w:rPr>
          <w:noProof/>
        </w:rPr>
        <w:instrText xml:space="preserve"> SEQ Table \* ARABIC \s 1 </w:instrText>
      </w:r>
      <w:r w:rsidR="00941B67">
        <w:rPr>
          <w:noProof/>
        </w:rPr>
        <w:fldChar w:fldCharType="separate"/>
      </w:r>
      <w:r w:rsidR="00D72ABB">
        <w:rPr>
          <w:noProof/>
        </w:rPr>
        <w:t>3</w:t>
      </w:r>
      <w:r w:rsidR="00941B67">
        <w:rPr>
          <w:noProof/>
        </w:rPr>
        <w:fldChar w:fldCharType="end"/>
      </w:r>
      <w:r>
        <w:t xml:space="preserve">: </w:t>
      </w:r>
      <w:r w:rsidR="000C00EB" w:rsidRPr="001F1F3C">
        <w:t xml:space="preserve">Australian electricity generation, by fuel </w:t>
      </w:r>
      <w:r w:rsidR="00E83694" w:rsidRPr="001F1F3C">
        <w:t>type,</w:t>
      </w:r>
      <w:r w:rsidR="009A6100" w:rsidRPr="001F1F3C">
        <w:t xml:space="preserve"> </w:t>
      </w:r>
      <w:r w:rsidR="009B0BCA">
        <w:t xml:space="preserve">calendar year </w:t>
      </w:r>
      <w:r w:rsidR="009A6100" w:rsidRPr="001F1F3C">
        <w:t>201</w:t>
      </w:r>
      <w:r w:rsidR="009C3030" w:rsidRPr="001F1F3C">
        <w:t>7</w:t>
      </w:r>
      <w:bookmarkEnd w:id="150"/>
      <w:bookmarkEnd w:id="151"/>
    </w:p>
    <w:tbl>
      <w:tblPr>
        <w:tblW w:w="6520" w:type="dxa"/>
        <w:tblLook w:val="04A0" w:firstRow="1" w:lastRow="0" w:firstColumn="1" w:lastColumn="0" w:noHBand="0" w:noVBand="1"/>
      </w:tblPr>
      <w:tblGrid>
        <w:gridCol w:w="3402"/>
        <w:gridCol w:w="1701"/>
        <w:gridCol w:w="1417"/>
      </w:tblGrid>
      <w:tr w:rsidR="009A5192" w:rsidRPr="001F1F3C" w14:paraId="23C8E717" w14:textId="77777777" w:rsidTr="0044181E">
        <w:trPr>
          <w:trHeight w:val="285"/>
        </w:trPr>
        <w:tc>
          <w:tcPr>
            <w:tcW w:w="3402" w:type="dxa"/>
            <w:tcBorders>
              <w:top w:val="nil"/>
              <w:left w:val="nil"/>
              <w:bottom w:val="nil"/>
              <w:right w:val="nil"/>
            </w:tcBorders>
            <w:shd w:val="clear" w:color="000000" w:fill="22789A"/>
            <w:noWrap/>
            <w:vAlign w:val="bottom"/>
            <w:hideMark/>
          </w:tcPr>
          <w:p w14:paraId="4886BE32" w14:textId="77777777" w:rsidR="009A5192" w:rsidRPr="001F1F3C" w:rsidRDefault="009A5192" w:rsidP="00AE3000">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3118" w:type="dxa"/>
            <w:gridSpan w:val="2"/>
            <w:tcBorders>
              <w:top w:val="nil"/>
              <w:left w:val="nil"/>
              <w:bottom w:val="nil"/>
              <w:right w:val="nil"/>
            </w:tcBorders>
            <w:shd w:val="clear" w:color="000000" w:fill="22789A"/>
            <w:noWrap/>
            <w:vAlign w:val="center"/>
            <w:hideMark/>
          </w:tcPr>
          <w:p w14:paraId="743B58C1" w14:textId="7B41A399" w:rsidR="009A5192" w:rsidRPr="001F1F3C" w:rsidRDefault="009A5192" w:rsidP="00AE3000">
            <w:pPr>
              <w:spacing w:after="0" w:line="360" w:lineRule="auto"/>
              <w:ind w:left="0"/>
              <w:jc w:val="center"/>
              <w:rPr>
                <w:rFonts w:eastAsia="Times New Roman" w:cs="Arial"/>
                <w:i/>
                <w:iCs/>
                <w:color w:val="FFFFFF"/>
                <w:sz w:val="18"/>
                <w:szCs w:val="18"/>
                <w:lang w:eastAsia="en-AU"/>
              </w:rPr>
            </w:pPr>
            <w:r w:rsidRPr="001F1F3C">
              <w:rPr>
                <w:rFonts w:eastAsia="Times New Roman" w:cs="Arial"/>
                <w:i/>
                <w:iCs/>
                <w:color w:val="FFFFFF" w:themeColor="background2"/>
                <w:sz w:val="18"/>
                <w:szCs w:val="18"/>
                <w:lang w:eastAsia="en-AU"/>
              </w:rPr>
              <w:t>201</w:t>
            </w:r>
            <w:r w:rsidR="009C3030" w:rsidRPr="001F1F3C">
              <w:rPr>
                <w:rFonts w:eastAsia="Times New Roman" w:cs="Arial"/>
                <w:i/>
                <w:iCs/>
                <w:color w:val="FFFFFF" w:themeColor="background2"/>
                <w:sz w:val="18"/>
                <w:szCs w:val="18"/>
                <w:lang w:eastAsia="en-AU"/>
              </w:rPr>
              <w:t>7</w:t>
            </w:r>
          </w:p>
        </w:tc>
      </w:tr>
      <w:tr w:rsidR="009A5192" w:rsidRPr="001F1F3C" w14:paraId="6B182C38" w14:textId="77777777" w:rsidTr="0044181E">
        <w:trPr>
          <w:trHeight w:val="240"/>
        </w:trPr>
        <w:tc>
          <w:tcPr>
            <w:tcW w:w="3402" w:type="dxa"/>
            <w:vMerge w:val="restart"/>
            <w:tcBorders>
              <w:top w:val="nil"/>
              <w:left w:val="nil"/>
              <w:bottom w:val="nil"/>
              <w:right w:val="nil"/>
            </w:tcBorders>
            <w:shd w:val="clear" w:color="000000" w:fill="CAE7F3"/>
            <w:noWrap/>
            <w:vAlign w:val="bottom"/>
            <w:hideMark/>
          </w:tcPr>
          <w:p w14:paraId="6D56244F" w14:textId="77777777" w:rsidR="009A5192" w:rsidRPr="001F1F3C" w:rsidRDefault="009A5192" w:rsidP="00AE3000">
            <w:pPr>
              <w:spacing w:after="0" w:line="360" w:lineRule="auto"/>
              <w:ind w:left="0"/>
              <w:jc w:val="left"/>
              <w:rPr>
                <w:rFonts w:eastAsia="Times New Roman" w:cs="Arial"/>
                <w:color w:val="000000"/>
                <w:sz w:val="22"/>
                <w:lang w:eastAsia="en-AU"/>
              </w:rPr>
            </w:pPr>
            <w:r w:rsidRPr="001F1F3C">
              <w:rPr>
                <w:rFonts w:eastAsia="Times New Roman" w:cs="Arial"/>
                <w:color w:val="000000"/>
                <w:sz w:val="22"/>
                <w:lang w:eastAsia="en-AU"/>
              </w:rPr>
              <w:t> </w:t>
            </w:r>
          </w:p>
        </w:tc>
        <w:tc>
          <w:tcPr>
            <w:tcW w:w="1701" w:type="dxa"/>
            <w:vMerge w:val="restart"/>
            <w:tcBorders>
              <w:top w:val="nil"/>
              <w:left w:val="nil"/>
              <w:bottom w:val="nil"/>
              <w:right w:val="nil"/>
            </w:tcBorders>
            <w:shd w:val="clear" w:color="000000" w:fill="CAE7F3"/>
            <w:noWrap/>
            <w:vAlign w:val="center"/>
            <w:hideMark/>
          </w:tcPr>
          <w:p w14:paraId="1CBBEB6E" w14:textId="77777777" w:rsidR="009A5192" w:rsidRPr="001F1F3C" w:rsidRDefault="009A5192" w:rsidP="00AE3000">
            <w:pPr>
              <w:spacing w:after="0" w:line="360" w:lineRule="auto"/>
              <w:ind w:left="0"/>
              <w:jc w:val="right"/>
              <w:rPr>
                <w:rFonts w:eastAsia="Times New Roman" w:cs="Arial"/>
                <w:sz w:val="18"/>
                <w:szCs w:val="18"/>
                <w:lang w:eastAsia="en-AU"/>
              </w:rPr>
            </w:pPr>
            <w:r w:rsidRPr="001F1F3C">
              <w:rPr>
                <w:rFonts w:eastAsia="Times New Roman" w:cs="Arial"/>
                <w:color w:val="595A5B" w:themeColor="accent5"/>
                <w:sz w:val="18"/>
                <w:szCs w:val="18"/>
                <w:lang w:eastAsia="en-AU"/>
              </w:rPr>
              <w:t>GWh</w:t>
            </w:r>
          </w:p>
        </w:tc>
        <w:tc>
          <w:tcPr>
            <w:tcW w:w="1417" w:type="dxa"/>
            <w:tcBorders>
              <w:top w:val="nil"/>
              <w:left w:val="nil"/>
              <w:bottom w:val="nil"/>
              <w:right w:val="nil"/>
            </w:tcBorders>
            <w:shd w:val="clear" w:color="000000" w:fill="CAE7F3"/>
            <w:noWrap/>
            <w:vAlign w:val="center"/>
            <w:hideMark/>
          </w:tcPr>
          <w:p w14:paraId="704390D5" w14:textId="77777777" w:rsidR="009A5192" w:rsidRPr="001F1F3C" w:rsidRDefault="009A5192" w:rsidP="00AE3000">
            <w:pPr>
              <w:spacing w:after="0" w:line="360" w:lineRule="auto"/>
              <w:ind w:left="0"/>
              <w:jc w:val="right"/>
              <w:rPr>
                <w:rFonts w:eastAsia="Times New Roman" w:cs="Arial"/>
                <w:sz w:val="18"/>
                <w:szCs w:val="18"/>
                <w:lang w:eastAsia="en-AU"/>
              </w:rPr>
            </w:pPr>
            <w:r w:rsidRPr="001F1F3C">
              <w:rPr>
                <w:rFonts w:eastAsia="Times New Roman" w:cs="Arial"/>
                <w:color w:val="595A5B" w:themeColor="accent5"/>
                <w:sz w:val="18"/>
                <w:szCs w:val="18"/>
                <w:lang w:eastAsia="en-AU"/>
              </w:rPr>
              <w:t>share</w:t>
            </w:r>
          </w:p>
        </w:tc>
      </w:tr>
      <w:tr w:rsidR="009A5192" w:rsidRPr="001F1F3C" w14:paraId="2A4879FF" w14:textId="77777777" w:rsidTr="0044181E">
        <w:trPr>
          <w:trHeight w:val="240"/>
        </w:trPr>
        <w:tc>
          <w:tcPr>
            <w:tcW w:w="3402" w:type="dxa"/>
            <w:vMerge/>
            <w:tcBorders>
              <w:top w:val="nil"/>
              <w:left w:val="nil"/>
              <w:bottom w:val="nil"/>
              <w:right w:val="nil"/>
            </w:tcBorders>
            <w:vAlign w:val="center"/>
            <w:hideMark/>
          </w:tcPr>
          <w:p w14:paraId="19654F77" w14:textId="77777777" w:rsidR="009A5192" w:rsidRPr="001F1F3C" w:rsidRDefault="009A5192" w:rsidP="00AE3000">
            <w:pPr>
              <w:spacing w:after="0" w:line="360" w:lineRule="auto"/>
              <w:ind w:left="0"/>
              <w:jc w:val="left"/>
              <w:rPr>
                <w:rFonts w:eastAsia="Times New Roman" w:cs="Arial"/>
                <w:color w:val="000000"/>
                <w:sz w:val="22"/>
                <w:lang w:eastAsia="en-AU"/>
              </w:rPr>
            </w:pPr>
          </w:p>
        </w:tc>
        <w:tc>
          <w:tcPr>
            <w:tcW w:w="1701" w:type="dxa"/>
            <w:vMerge/>
            <w:tcBorders>
              <w:top w:val="nil"/>
              <w:left w:val="nil"/>
              <w:bottom w:val="nil"/>
              <w:right w:val="nil"/>
            </w:tcBorders>
            <w:vAlign w:val="center"/>
            <w:hideMark/>
          </w:tcPr>
          <w:p w14:paraId="5EA64A17" w14:textId="77777777" w:rsidR="009A5192" w:rsidRPr="001F1F3C" w:rsidRDefault="009A5192" w:rsidP="00AE3000">
            <w:pPr>
              <w:spacing w:after="0" w:line="360" w:lineRule="auto"/>
              <w:ind w:left="0"/>
              <w:jc w:val="left"/>
              <w:rPr>
                <w:rFonts w:eastAsia="Times New Roman" w:cs="Arial"/>
                <w:sz w:val="18"/>
                <w:szCs w:val="18"/>
                <w:lang w:eastAsia="en-AU"/>
              </w:rPr>
            </w:pPr>
          </w:p>
        </w:tc>
        <w:tc>
          <w:tcPr>
            <w:tcW w:w="1417" w:type="dxa"/>
            <w:tcBorders>
              <w:top w:val="nil"/>
              <w:left w:val="nil"/>
              <w:bottom w:val="nil"/>
              <w:right w:val="nil"/>
            </w:tcBorders>
            <w:shd w:val="clear" w:color="000000" w:fill="CAE7F3"/>
            <w:noWrap/>
            <w:vAlign w:val="center"/>
            <w:hideMark/>
          </w:tcPr>
          <w:p w14:paraId="2C754799" w14:textId="77777777" w:rsidR="009A5192" w:rsidRPr="001F1F3C" w:rsidRDefault="009A5192" w:rsidP="00AE3000">
            <w:pPr>
              <w:spacing w:after="0" w:line="360" w:lineRule="auto"/>
              <w:ind w:left="0"/>
              <w:jc w:val="right"/>
              <w:rPr>
                <w:rFonts w:eastAsia="Times New Roman" w:cs="Arial"/>
                <w:sz w:val="18"/>
                <w:szCs w:val="18"/>
                <w:lang w:eastAsia="en-AU"/>
              </w:rPr>
            </w:pPr>
            <w:r w:rsidRPr="001F1F3C">
              <w:rPr>
                <w:rFonts w:eastAsia="Times New Roman" w:cs="Arial"/>
                <w:sz w:val="18"/>
                <w:szCs w:val="18"/>
                <w:lang w:eastAsia="en-AU"/>
              </w:rPr>
              <w:t>(per cent)</w:t>
            </w:r>
          </w:p>
        </w:tc>
      </w:tr>
      <w:tr w:rsidR="009B0BCA" w:rsidRPr="001F1F3C" w14:paraId="0B2B0A95" w14:textId="77777777" w:rsidTr="0044181E">
        <w:trPr>
          <w:trHeight w:val="240"/>
        </w:trPr>
        <w:tc>
          <w:tcPr>
            <w:tcW w:w="3402" w:type="dxa"/>
            <w:tcBorders>
              <w:top w:val="nil"/>
              <w:left w:val="nil"/>
              <w:bottom w:val="nil"/>
              <w:right w:val="nil"/>
            </w:tcBorders>
            <w:shd w:val="clear" w:color="000000" w:fill="CAE7F3"/>
            <w:noWrap/>
            <w:hideMark/>
          </w:tcPr>
          <w:p w14:paraId="397CF511" w14:textId="4BB91EEA" w:rsidR="009B0BCA" w:rsidRPr="00D846CB" w:rsidRDefault="009B0BCA" w:rsidP="009B0BCA">
            <w:pPr>
              <w:spacing w:after="0" w:line="360" w:lineRule="auto"/>
              <w:ind w:left="0"/>
              <w:jc w:val="left"/>
              <w:rPr>
                <w:rFonts w:eastAsia="Times New Roman" w:cs="Arial"/>
                <w:b/>
                <w:bCs/>
                <w:sz w:val="18"/>
                <w:szCs w:val="18"/>
                <w:lang w:eastAsia="en-AU"/>
              </w:rPr>
            </w:pPr>
            <w:r w:rsidRPr="00D846CB">
              <w:rPr>
                <w:b/>
                <w:sz w:val="18"/>
                <w:szCs w:val="18"/>
              </w:rPr>
              <w:t xml:space="preserve">Fossil fuels </w:t>
            </w:r>
          </w:p>
        </w:tc>
        <w:tc>
          <w:tcPr>
            <w:tcW w:w="1701" w:type="dxa"/>
            <w:tcBorders>
              <w:top w:val="nil"/>
              <w:left w:val="nil"/>
              <w:bottom w:val="nil"/>
              <w:right w:val="nil"/>
            </w:tcBorders>
            <w:shd w:val="clear" w:color="000000" w:fill="CAE7F3"/>
            <w:noWrap/>
            <w:hideMark/>
          </w:tcPr>
          <w:p w14:paraId="09D26751" w14:textId="19378D5C" w:rsidR="009B0BCA" w:rsidRPr="00D846CB" w:rsidRDefault="009B0BCA" w:rsidP="009B0BCA">
            <w:pPr>
              <w:spacing w:after="0" w:line="240" w:lineRule="auto"/>
              <w:ind w:left="0"/>
              <w:jc w:val="right"/>
              <w:rPr>
                <w:rFonts w:eastAsia="Times New Roman" w:cs="Arial"/>
                <w:b/>
                <w:bCs/>
                <w:sz w:val="18"/>
                <w:szCs w:val="18"/>
                <w:lang w:eastAsia="en-AU"/>
              </w:rPr>
            </w:pPr>
            <w:r w:rsidRPr="00D846CB">
              <w:rPr>
                <w:b/>
                <w:sz w:val="18"/>
                <w:szCs w:val="18"/>
              </w:rPr>
              <w:t>220,359</w:t>
            </w:r>
          </w:p>
        </w:tc>
        <w:tc>
          <w:tcPr>
            <w:tcW w:w="1417" w:type="dxa"/>
            <w:tcBorders>
              <w:top w:val="nil"/>
              <w:left w:val="nil"/>
              <w:bottom w:val="nil"/>
              <w:right w:val="nil"/>
            </w:tcBorders>
            <w:shd w:val="clear" w:color="000000" w:fill="CAE7F3"/>
            <w:noWrap/>
          </w:tcPr>
          <w:p w14:paraId="67D2559B" w14:textId="68D83D17" w:rsidR="009B0BCA" w:rsidRPr="00D846CB" w:rsidRDefault="009B0BCA" w:rsidP="009B0BCA">
            <w:pPr>
              <w:spacing w:after="0" w:line="240" w:lineRule="auto"/>
              <w:ind w:left="0"/>
              <w:jc w:val="right"/>
              <w:rPr>
                <w:rFonts w:eastAsia="Times New Roman" w:cs="Arial"/>
                <w:b/>
                <w:bCs/>
                <w:sz w:val="18"/>
                <w:szCs w:val="18"/>
                <w:lang w:eastAsia="en-AU"/>
              </w:rPr>
            </w:pPr>
            <w:r w:rsidRPr="00D846CB">
              <w:rPr>
                <w:b/>
                <w:sz w:val="18"/>
                <w:szCs w:val="18"/>
              </w:rPr>
              <w:t>84.9</w:t>
            </w:r>
          </w:p>
        </w:tc>
      </w:tr>
      <w:tr w:rsidR="009B0BCA" w:rsidRPr="001F1F3C" w14:paraId="36795841" w14:textId="77777777" w:rsidTr="0044181E">
        <w:trPr>
          <w:trHeight w:val="240"/>
        </w:trPr>
        <w:tc>
          <w:tcPr>
            <w:tcW w:w="3402" w:type="dxa"/>
            <w:tcBorders>
              <w:top w:val="nil"/>
              <w:left w:val="nil"/>
              <w:bottom w:val="nil"/>
              <w:right w:val="nil"/>
            </w:tcBorders>
            <w:shd w:val="clear" w:color="000000" w:fill="CAE7F3"/>
            <w:noWrap/>
            <w:hideMark/>
          </w:tcPr>
          <w:p w14:paraId="0D419F7E" w14:textId="57F5E6DC" w:rsidR="009B0BCA" w:rsidRPr="00D846CB" w:rsidRDefault="009B0BCA" w:rsidP="009B0BCA">
            <w:pPr>
              <w:spacing w:after="0" w:line="360" w:lineRule="auto"/>
              <w:ind w:left="0"/>
              <w:jc w:val="left"/>
              <w:rPr>
                <w:rFonts w:eastAsia="Times New Roman" w:cs="Arial"/>
                <w:sz w:val="18"/>
                <w:szCs w:val="18"/>
                <w:lang w:eastAsia="en-AU"/>
              </w:rPr>
            </w:pPr>
            <w:r w:rsidRPr="00D846CB">
              <w:rPr>
                <w:sz w:val="18"/>
                <w:szCs w:val="18"/>
              </w:rPr>
              <w:t>Black coal</w:t>
            </w:r>
          </w:p>
        </w:tc>
        <w:tc>
          <w:tcPr>
            <w:tcW w:w="1701" w:type="dxa"/>
            <w:tcBorders>
              <w:top w:val="nil"/>
              <w:left w:val="nil"/>
              <w:bottom w:val="nil"/>
              <w:right w:val="nil"/>
            </w:tcBorders>
            <w:shd w:val="clear" w:color="000000" w:fill="CAE7F3"/>
            <w:noWrap/>
          </w:tcPr>
          <w:p w14:paraId="29906271" w14:textId="7EC575B6" w:rsidR="009B0BCA" w:rsidRPr="00D846CB" w:rsidRDefault="009B0BCA" w:rsidP="009B0BCA">
            <w:pPr>
              <w:spacing w:after="0" w:line="240" w:lineRule="auto"/>
              <w:ind w:left="0"/>
              <w:jc w:val="right"/>
              <w:rPr>
                <w:rFonts w:eastAsia="Times New Roman" w:cs="Arial"/>
                <w:sz w:val="18"/>
                <w:szCs w:val="18"/>
                <w:lang w:eastAsia="en-AU"/>
              </w:rPr>
            </w:pPr>
            <w:r w:rsidRPr="00D846CB">
              <w:rPr>
                <w:sz w:val="18"/>
                <w:szCs w:val="18"/>
              </w:rPr>
              <w:t>120,832</w:t>
            </w:r>
          </w:p>
        </w:tc>
        <w:tc>
          <w:tcPr>
            <w:tcW w:w="1417" w:type="dxa"/>
            <w:tcBorders>
              <w:top w:val="nil"/>
              <w:left w:val="nil"/>
              <w:bottom w:val="nil"/>
              <w:right w:val="nil"/>
            </w:tcBorders>
            <w:shd w:val="clear" w:color="000000" w:fill="CAE7F3"/>
            <w:noWrap/>
          </w:tcPr>
          <w:p w14:paraId="231D4F56" w14:textId="0FD017CC" w:rsidR="009B0BCA" w:rsidRPr="00D846CB" w:rsidRDefault="009B0BCA" w:rsidP="009B0BCA">
            <w:pPr>
              <w:spacing w:after="0" w:line="240" w:lineRule="auto"/>
              <w:ind w:left="0"/>
              <w:jc w:val="right"/>
              <w:rPr>
                <w:rFonts w:eastAsia="Times New Roman" w:cs="Arial"/>
                <w:bCs/>
                <w:sz w:val="18"/>
                <w:szCs w:val="18"/>
                <w:lang w:eastAsia="en-AU"/>
              </w:rPr>
            </w:pPr>
            <w:r w:rsidRPr="00D846CB">
              <w:rPr>
                <w:sz w:val="18"/>
                <w:szCs w:val="18"/>
              </w:rPr>
              <w:t>46.6</w:t>
            </w:r>
          </w:p>
        </w:tc>
      </w:tr>
      <w:tr w:rsidR="009B0BCA" w:rsidRPr="001F1F3C" w14:paraId="3EE5BB81" w14:textId="77777777" w:rsidTr="0044181E">
        <w:trPr>
          <w:trHeight w:val="240"/>
        </w:trPr>
        <w:tc>
          <w:tcPr>
            <w:tcW w:w="3402" w:type="dxa"/>
            <w:tcBorders>
              <w:top w:val="nil"/>
              <w:left w:val="nil"/>
              <w:bottom w:val="nil"/>
              <w:right w:val="nil"/>
            </w:tcBorders>
            <w:shd w:val="clear" w:color="000000" w:fill="CAE7F3"/>
            <w:noWrap/>
            <w:hideMark/>
          </w:tcPr>
          <w:p w14:paraId="683B906D" w14:textId="1A093115" w:rsidR="009B0BCA" w:rsidRPr="00D846CB" w:rsidRDefault="009B0BCA" w:rsidP="009B0BCA">
            <w:pPr>
              <w:spacing w:after="0" w:line="360" w:lineRule="auto"/>
              <w:ind w:left="0"/>
              <w:jc w:val="left"/>
              <w:rPr>
                <w:rFonts w:eastAsia="Times New Roman" w:cs="Arial"/>
                <w:sz w:val="18"/>
                <w:szCs w:val="18"/>
                <w:lang w:eastAsia="en-AU"/>
              </w:rPr>
            </w:pPr>
            <w:r w:rsidRPr="00D846CB">
              <w:rPr>
                <w:sz w:val="18"/>
                <w:szCs w:val="18"/>
              </w:rPr>
              <w:t>Brown coal</w:t>
            </w:r>
          </w:p>
        </w:tc>
        <w:tc>
          <w:tcPr>
            <w:tcW w:w="1701" w:type="dxa"/>
            <w:tcBorders>
              <w:top w:val="nil"/>
              <w:left w:val="nil"/>
              <w:bottom w:val="nil"/>
              <w:right w:val="nil"/>
            </w:tcBorders>
            <w:shd w:val="clear" w:color="000000" w:fill="CAE7F3"/>
            <w:noWrap/>
          </w:tcPr>
          <w:p w14:paraId="50208521" w14:textId="13D4A6D4" w:rsidR="009B0BCA" w:rsidRPr="00D846CB" w:rsidRDefault="009B0BCA" w:rsidP="009B0BCA">
            <w:pPr>
              <w:spacing w:after="0" w:line="240" w:lineRule="auto"/>
              <w:ind w:left="0"/>
              <w:jc w:val="right"/>
              <w:rPr>
                <w:rFonts w:eastAsia="Times New Roman" w:cs="Arial"/>
                <w:sz w:val="18"/>
                <w:szCs w:val="18"/>
                <w:lang w:eastAsia="en-AU"/>
              </w:rPr>
            </w:pPr>
            <w:r w:rsidRPr="00D846CB">
              <w:rPr>
                <w:sz w:val="18"/>
                <w:szCs w:val="18"/>
              </w:rPr>
              <w:t>38,313</w:t>
            </w:r>
          </w:p>
        </w:tc>
        <w:tc>
          <w:tcPr>
            <w:tcW w:w="1417" w:type="dxa"/>
            <w:tcBorders>
              <w:top w:val="nil"/>
              <w:left w:val="nil"/>
              <w:bottom w:val="nil"/>
              <w:right w:val="nil"/>
            </w:tcBorders>
            <w:shd w:val="clear" w:color="000000" w:fill="CAE7F3"/>
            <w:noWrap/>
          </w:tcPr>
          <w:p w14:paraId="0AA03389" w14:textId="7F53992A" w:rsidR="009B0BCA" w:rsidRPr="00D846CB" w:rsidRDefault="009B0BCA" w:rsidP="009B0BCA">
            <w:pPr>
              <w:spacing w:after="0" w:line="240" w:lineRule="auto"/>
              <w:ind w:left="0"/>
              <w:jc w:val="right"/>
              <w:rPr>
                <w:rFonts w:eastAsia="Times New Roman" w:cs="Arial"/>
                <w:bCs/>
                <w:sz w:val="18"/>
                <w:szCs w:val="18"/>
                <w:lang w:eastAsia="en-AU"/>
              </w:rPr>
            </w:pPr>
            <w:r w:rsidRPr="00D846CB">
              <w:rPr>
                <w:sz w:val="18"/>
                <w:szCs w:val="18"/>
              </w:rPr>
              <w:t>14.8</w:t>
            </w:r>
          </w:p>
        </w:tc>
      </w:tr>
      <w:tr w:rsidR="009B0BCA" w:rsidRPr="001F1F3C" w14:paraId="65E385EB" w14:textId="77777777" w:rsidTr="0044181E">
        <w:trPr>
          <w:trHeight w:val="240"/>
        </w:trPr>
        <w:tc>
          <w:tcPr>
            <w:tcW w:w="3402" w:type="dxa"/>
            <w:tcBorders>
              <w:top w:val="nil"/>
              <w:left w:val="nil"/>
              <w:bottom w:val="nil"/>
              <w:right w:val="nil"/>
            </w:tcBorders>
            <w:shd w:val="clear" w:color="000000" w:fill="CAE7F3"/>
            <w:noWrap/>
            <w:hideMark/>
          </w:tcPr>
          <w:p w14:paraId="0E570834" w14:textId="2681991D" w:rsidR="009B0BCA" w:rsidRPr="00D846CB" w:rsidRDefault="009B0BCA" w:rsidP="009B0BCA">
            <w:pPr>
              <w:spacing w:after="0" w:line="360" w:lineRule="auto"/>
              <w:ind w:left="0"/>
              <w:jc w:val="left"/>
              <w:rPr>
                <w:rFonts w:eastAsia="Times New Roman" w:cs="Arial"/>
                <w:sz w:val="18"/>
                <w:szCs w:val="18"/>
                <w:lang w:eastAsia="en-AU"/>
              </w:rPr>
            </w:pPr>
            <w:r w:rsidRPr="00D846CB">
              <w:rPr>
                <w:sz w:val="18"/>
                <w:szCs w:val="18"/>
              </w:rPr>
              <w:t>Gas</w:t>
            </w:r>
          </w:p>
        </w:tc>
        <w:tc>
          <w:tcPr>
            <w:tcW w:w="1701" w:type="dxa"/>
            <w:tcBorders>
              <w:top w:val="nil"/>
              <w:left w:val="nil"/>
              <w:bottom w:val="nil"/>
              <w:right w:val="nil"/>
            </w:tcBorders>
            <w:shd w:val="clear" w:color="000000" w:fill="CAE7F3"/>
            <w:noWrap/>
          </w:tcPr>
          <w:p w14:paraId="3BE2592E" w14:textId="0E23638F" w:rsidR="009B0BCA" w:rsidRPr="00D846CB" w:rsidRDefault="009B0BCA" w:rsidP="009B0BCA">
            <w:pPr>
              <w:spacing w:after="0" w:line="240" w:lineRule="auto"/>
              <w:ind w:left="0"/>
              <w:jc w:val="right"/>
              <w:rPr>
                <w:rFonts w:eastAsia="Times New Roman" w:cs="Arial"/>
                <w:sz w:val="18"/>
                <w:szCs w:val="18"/>
                <w:lang w:eastAsia="en-AU"/>
              </w:rPr>
            </w:pPr>
            <w:r w:rsidRPr="00D846CB">
              <w:rPr>
                <w:sz w:val="18"/>
                <w:szCs w:val="18"/>
              </w:rPr>
              <w:t>54,929</w:t>
            </w:r>
          </w:p>
        </w:tc>
        <w:tc>
          <w:tcPr>
            <w:tcW w:w="1417" w:type="dxa"/>
            <w:tcBorders>
              <w:top w:val="nil"/>
              <w:left w:val="nil"/>
              <w:bottom w:val="nil"/>
              <w:right w:val="nil"/>
            </w:tcBorders>
            <w:shd w:val="clear" w:color="000000" w:fill="CAE7F3"/>
            <w:noWrap/>
          </w:tcPr>
          <w:p w14:paraId="75840C94" w14:textId="201D6A31" w:rsidR="009B0BCA" w:rsidRPr="00D846CB" w:rsidRDefault="009B0BCA" w:rsidP="009B0BCA">
            <w:pPr>
              <w:spacing w:after="0" w:line="240" w:lineRule="auto"/>
              <w:ind w:left="0"/>
              <w:jc w:val="right"/>
              <w:rPr>
                <w:rFonts w:eastAsia="Times New Roman" w:cs="Arial"/>
                <w:bCs/>
                <w:sz w:val="18"/>
                <w:szCs w:val="18"/>
                <w:lang w:eastAsia="en-AU"/>
              </w:rPr>
            </w:pPr>
            <w:r w:rsidRPr="00D846CB">
              <w:rPr>
                <w:sz w:val="18"/>
                <w:szCs w:val="18"/>
              </w:rPr>
              <w:t>21.2</w:t>
            </w:r>
          </w:p>
        </w:tc>
      </w:tr>
      <w:tr w:rsidR="009B0BCA" w:rsidRPr="001F1F3C" w14:paraId="73F99C71" w14:textId="77777777" w:rsidTr="0044181E">
        <w:trPr>
          <w:trHeight w:val="240"/>
        </w:trPr>
        <w:tc>
          <w:tcPr>
            <w:tcW w:w="3402" w:type="dxa"/>
            <w:tcBorders>
              <w:top w:val="nil"/>
              <w:left w:val="nil"/>
              <w:bottom w:val="nil"/>
              <w:right w:val="nil"/>
            </w:tcBorders>
            <w:shd w:val="clear" w:color="000000" w:fill="CAE7F3"/>
            <w:noWrap/>
            <w:hideMark/>
          </w:tcPr>
          <w:p w14:paraId="649587D2" w14:textId="721ECEA6" w:rsidR="009B0BCA" w:rsidRPr="00D846CB" w:rsidRDefault="009B0BCA" w:rsidP="009B0BCA">
            <w:pPr>
              <w:spacing w:after="0" w:line="360" w:lineRule="auto"/>
              <w:ind w:left="0"/>
              <w:jc w:val="left"/>
              <w:rPr>
                <w:rFonts w:eastAsia="Times New Roman" w:cs="Arial"/>
                <w:sz w:val="18"/>
                <w:szCs w:val="18"/>
                <w:lang w:eastAsia="en-AU"/>
              </w:rPr>
            </w:pPr>
            <w:r w:rsidRPr="00D846CB">
              <w:rPr>
                <w:sz w:val="18"/>
                <w:szCs w:val="18"/>
              </w:rPr>
              <w:t>Oil</w:t>
            </w:r>
          </w:p>
        </w:tc>
        <w:tc>
          <w:tcPr>
            <w:tcW w:w="1701" w:type="dxa"/>
            <w:tcBorders>
              <w:top w:val="nil"/>
              <w:left w:val="nil"/>
              <w:bottom w:val="nil"/>
              <w:right w:val="nil"/>
            </w:tcBorders>
            <w:shd w:val="clear" w:color="000000" w:fill="CAE7F3"/>
            <w:noWrap/>
          </w:tcPr>
          <w:p w14:paraId="5788825E" w14:textId="1EE487F2" w:rsidR="009B0BCA" w:rsidRPr="00D846CB" w:rsidRDefault="009B0BCA" w:rsidP="009B0BCA">
            <w:pPr>
              <w:spacing w:after="0" w:line="240" w:lineRule="auto"/>
              <w:ind w:left="0"/>
              <w:jc w:val="right"/>
              <w:rPr>
                <w:rFonts w:eastAsia="Times New Roman" w:cs="Arial"/>
                <w:sz w:val="18"/>
                <w:szCs w:val="18"/>
                <w:lang w:eastAsia="en-AU"/>
              </w:rPr>
            </w:pPr>
            <w:r w:rsidRPr="00D846CB">
              <w:rPr>
                <w:sz w:val="18"/>
                <w:szCs w:val="18"/>
              </w:rPr>
              <w:t>6,285</w:t>
            </w:r>
          </w:p>
        </w:tc>
        <w:tc>
          <w:tcPr>
            <w:tcW w:w="1417" w:type="dxa"/>
            <w:tcBorders>
              <w:top w:val="nil"/>
              <w:left w:val="nil"/>
              <w:bottom w:val="nil"/>
              <w:right w:val="nil"/>
            </w:tcBorders>
            <w:shd w:val="clear" w:color="000000" w:fill="CAE7F3"/>
            <w:noWrap/>
          </w:tcPr>
          <w:p w14:paraId="2AFE2C63" w14:textId="73FE989B" w:rsidR="009B0BCA" w:rsidRPr="00D846CB" w:rsidRDefault="009B0BCA" w:rsidP="009B0BCA">
            <w:pPr>
              <w:spacing w:after="0" w:line="240" w:lineRule="auto"/>
              <w:ind w:left="0"/>
              <w:jc w:val="right"/>
              <w:rPr>
                <w:rFonts w:eastAsia="Times New Roman" w:cs="Arial"/>
                <w:bCs/>
                <w:sz w:val="18"/>
                <w:szCs w:val="18"/>
                <w:lang w:eastAsia="en-AU"/>
              </w:rPr>
            </w:pPr>
            <w:r w:rsidRPr="00D846CB">
              <w:rPr>
                <w:sz w:val="18"/>
                <w:szCs w:val="18"/>
              </w:rPr>
              <w:t>2.4</w:t>
            </w:r>
          </w:p>
        </w:tc>
      </w:tr>
      <w:tr w:rsidR="009B0BCA" w:rsidRPr="001F1F3C" w14:paraId="13836721" w14:textId="77777777" w:rsidTr="0044181E">
        <w:trPr>
          <w:trHeight w:val="240"/>
        </w:trPr>
        <w:tc>
          <w:tcPr>
            <w:tcW w:w="3402" w:type="dxa"/>
            <w:tcBorders>
              <w:top w:val="nil"/>
              <w:left w:val="nil"/>
              <w:bottom w:val="nil"/>
              <w:right w:val="nil"/>
            </w:tcBorders>
            <w:shd w:val="clear" w:color="000000" w:fill="CAE7F3"/>
            <w:noWrap/>
            <w:hideMark/>
          </w:tcPr>
          <w:p w14:paraId="49F38A05" w14:textId="4A30AFAF" w:rsidR="009B0BCA" w:rsidRPr="00D846CB" w:rsidRDefault="009B0BCA" w:rsidP="009B0BCA">
            <w:pPr>
              <w:spacing w:after="0" w:line="360" w:lineRule="auto"/>
              <w:ind w:left="0"/>
              <w:jc w:val="left"/>
              <w:rPr>
                <w:rFonts w:eastAsia="Times New Roman" w:cs="Arial"/>
                <w:b/>
                <w:bCs/>
                <w:sz w:val="18"/>
                <w:szCs w:val="18"/>
                <w:lang w:eastAsia="en-AU"/>
              </w:rPr>
            </w:pPr>
            <w:r w:rsidRPr="00D846CB">
              <w:rPr>
                <w:b/>
                <w:sz w:val="18"/>
                <w:szCs w:val="18"/>
              </w:rPr>
              <w:t xml:space="preserve">Renewables </w:t>
            </w:r>
          </w:p>
        </w:tc>
        <w:tc>
          <w:tcPr>
            <w:tcW w:w="1701" w:type="dxa"/>
            <w:tcBorders>
              <w:top w:val="nil"/>
              <w:left w:val="nil"/>
              <w:bottom w:val="nil"/>
              <w:right w:val="nil"/>
            </w:tcBorders>
            <w:shd w:val="clear" w:color="000000" w:fill="CAE7F3"/>
            <w:noWrap/>
            <w:hideMark/>
          </w:tcPr>
          <w:p w14:paraId="1F02BC1B" w14:textId="05E0B574" w:rsidR="009B0BCA" w:rsidRPr="00D846CB" w:rsidRDefault="009B0BCA" w:rsidP="009B0BCA">
            <w:pPr>
              <w:spacing w:after="0" w:line="240" w:lineRule="auto"/>
              <w:ind w:left="0"/>
              <w:jc w:val="right"/>
              <w:rPr>
                <w:rFonts w:eastAsia="Times New Roman" w:cs="Arial"/>
                <w:b/>
                <w:bCs/>
                <w:sz w:val="18"/>
                <w:szCs w:val="18"/>
                <w:lang w:eastAsia="en-AU"/>
              </w:rPr>
            </w:pPr>
            <w:r w:rsidRPr="00D846CB">
              <w:rPr>
                <w:b/>
                <w:sz w:val="18"/>
                <w:szCs w:val="18"/>
              </w:rPr>
              <w:t>39,087</w:t>
            </w:r>
          </w:p>
        </w:tc>
        <w:tc>
          <w:tcPr>
            <w:tcW w:w="1417" w:type="dxa"/>
            <w:tcBorders>
              <w:top w:val="nil"/>
              <w:left w:val="nil"/>
              <w:bottom w:val="nil"/>
              <w:right w:val="nil"/>
            </w:tcBorders>
            <w:shd w:val="clear" w:color="000000" w:fill="CAE7F3"/>
            <w:noWrap/>
          </w:tcPr>
          <w:p w14:paraId="46F72CED" w14:textId="7A369D74" w:rsidR="009B0BCA" w:rsidRPr="00D846CB" w:rsidRDefault="009B0BCA" w:rsidP="009B0BCA">
            <w:pPr>
              <w:spacing w:after="0" w:line="240" w:lineRule="auto"/>
              <w:ind w:left="0"/>
              <w:jc w:val="right"/>
              <w:rPr>
                <w:rFonts w:eastAsia="Times New Roman" w:cs="Arial"/>
                <w:b/>
                <w:bCs/>
                <w:sz w:val="18"/>
                <w:szCs w:val="18"/>
                <w:lang w:eastAsia="en-AU"/>
              </w:rPr>
            </w:pPr>
            <w:r w:rsidRPr="00D846CB">
              <w:rPr>
                <w:b/>
                <w:sz w:val="18"/>
                <w:szCs w:val="18"/>
              </w:rPr>
              <w:t>15.1</w:t>
            </w:r>
          </w:p>
        </w:tc>
      </w:tr>
      <w:tr w:rsidR="009B0BCA" w:rsidRPr="001F1F3C" w14:paraId="2C545C95" w14:textId="77777777" w:rsidTr="0044181E">
        <w:trPr>
          <w:trHeight w:val="240"/>
        </w:trPr>
        <w:tc>
          <w:tcPr>
            <w:tcW w:w="3402" w:type="dxa"/>
            <w:tcBorders>
              <w:top w:val="nil"/>
              <w:left w:val="nil"/>
              <w:bottom w:val="nil"/>
              <w:right w:val="nil"/>
            </w:tcBorders>
            <w:shd w:val="clear" w:color="000000" w:fill="CAE7F3"/>
            <w:noWrap/>
            <w:hideMark/>
          </w:tcPr>
          <w:p w14:paraId="33180719" w14:textId="6342EC3A" w:rsidR="009B0BCA" w:rsidRPr="00D846CB" w:rsidRDefault="009B0BCA" w:rsidP="009B0BCA">
            <w:pPr>
              <w:spacing w:after="0" w:line="360" w:lineRule="auto"/>
              <w:ind w:left="0"/>
              <w:jc w:val="left"/>
              <w:rPr>
                <w:rFonts w:eastAsia="Times New Roman" w:cs="Arial"/>
                <w:sz w:val="18"/>
                <w:szCs w:val="18"/>
                <w:lang w:eastAsia="en-AU"/>
              </w:rPr>
            </w:pPr>
            <w:r w:rsidRPr="00D846CB">
              <w:rPr>
                <w:sz w:val="18"/>
                <w:szCs w:val="18"/>
              </w:rPr>
              <w:t xml:space="preserve">Hydro </w:t>
            </w:r>
          </w:p>
        </w:tc>
        <w:tc>
          <w:tcPr>
            <w:tcW w:w="1701" w:type="dxa"/>
            <w:tcBorders>
              <w:top w:val="nil"/>
              <w:left w:val="nil"/>
              <w:bottom w:val="nil"/>
              <w:right w:val="nil"/>
            </w:tcBorders>
            <w:shd w:val="clear" w:color="000000" w:fill="CAE7F3"/>
            <w:noWrap/>
          </w:tcPr>
          <w:p w14:paraId="3BD52712" w14:textId="11D5B858" w:rsidR="009B0BCA" w:rsidRPr="00D846CB" w:rsidRDefault="009B0BCA" w:rsidP="009B0BCA">
            <w:pPr>
              <w:spacing w:after="0" w:line="240" w:lineRule="auto"/>
              <w:ind w:left="0"/>
              <w:jc w:val="right"/>
              <w:rPr>
                <w:rFonts w:eastAsia="Times New Roman" w:cs="Arial"/>
                <w:sz w:val="18"/>
                <w:szCs w:val="18"/>
                <w:lang w:eastAsia="en-AU"/>
              </w:rPr>
            </w:pPr>
            <w:r w:rsidRPr="00D846CB">
              <w:rPr>
                <w:sz w:val="18"/>
                <w:szCs w:val="18"/>
              </w:rPr>
              <w:t>13,933</w:t>
            </w:r>
          </w:p>
        </w:tc>
        <w:tc>
          <w:tcPr>
            <w:tcW w:w="1417" w:type="dxa"/>
            <w:tcBorders>
              <w:top w:val="nil"/>
              <w:left w:val="nil"/>
              <w:bottom w:val="nil"/>
              <w:right w:val="nil"/>
            </w:tcBorders>
            <w:shd w:val="clear" w:color="000000" w:fill="CAE7F3"/>
            <w:noWrap/>
          </w:tcPr>
          <w:p w14:paraId="7B48A0F9" w14:textId="5D303256" w:rsidR="009B0BCA" w:rsidRPr="00D846CB" w:rsidRDefault="009B0BCA" w:rsidP="009B0BCA">
            <w:pPr>
              <w:spacing w:after="0" w:line="240" w:lineRule="auto"/>
              <w:ind w:left="0"/>
              <w:jc w:val="right"/>
              <w:rPr>
                <w:rFonts w:eastAsia="Times New Roman" w:cs="Arial"/>
                <w:bCs/>
                <w:sz w:val="18"/>
                <w:szCs w:val="18"/>
                <w:lang w:eastAsia="en-AU"/>
              </w:rPr>
            </w:pPr>
            <w:r w:rsidRPr="00D846CB">
              <w:rPr>
                <w:sz w:val="18"/>
                <w:szCs w:val="18"/>
              </w:rPr>
              <w:t>5.4</w:t>
            </w:r>
          </w:p>
        </w:tc>
      </w:tr>
      <w:tr w:rsidR="009B0BCA" w:rsidRPr="001F1F3C" w14:paraId="1F2320FC" w14:textId="77777777" w:rsidTr="0044181E">
        <w:trPr>
          <w:trHeight w:val="240"/>
        </w:trPr>
        <w:tc>
          <w:tcPr>
            <w:tcW w:w="3402" w:type="dxa"/>
            <w:tcBorders>
              <w:top w:val="nil"/>
              <w:left w:val="nil"/>
              <w:bottom w:val="nil"/>
              <w:right w:val="nil"/>
            </w:tcBorders>
            <w:shd w:val="clear" w:color="000000" w:fill="CAE7F3"/>
            <w:noWrap/>
            <w:hideMark/>
          </w:tcPr>
          <w:p w14:paraId="3B7077CD" w14:textId="527E0AB5" w:rsidR="009B0BCA" w:rsidRPr="00D846CB" w:rsidRDefault="009B0BCA" w:rsidP="009B0BCA">
            <w:pPr>
              <w:spacing w:after="0" w:line="360" w:lineRule="auto"/>
              <w:ind w:left="0"/>
              <w:jc w:val="left"/>
              <w:rPr>
                <w:rFonts w:eastAsia="Times New Roman" w:cs="Arial"/>
                <w:sz w:val="18"/>
                <w:szCs w:val="18"/>
                <w:lang w:eastAsia="en-AU"/>
              </w:rPr>
            </w:pPr>
            <w:r w:rsidRPr="00D846CB">
              <w:rPr>
                <w:sz w:val="18"/>
                <w:szCs w:val="18"/>
              </w:rPr>
              <w:t>Wind</w:t>
            </w:r>
          </w:p>
        </w:tc>
        <w:tc>
          <w:tcPr>
            <w:tcW w:w="1701" w:type="dxa"/>
            <w:tcBorders>
              <w:top w:val="nil"/>
              <w:left w:val="nil"/>
              <w:bottom w:val="nil"/>
              <w:right w:val="nil"/>
            </w:tcBorders>
            <w:shd w:val="clear" w:color="000000" w:fill="CAE7F3"/>
            <w:noWrap/>
          </w:tcPr>
          <w:p w14:paraId="64B0CBBC" w14:textId="2FCBC9D5" w:rsidR="009B0BCA" w:rsidRPr="00D846CB" w:rsidRDefault="009B0BCA" w:rsidP="009B0BCA">
            <w:pPr>
              <w:spacing w:after="0" w:line="240" w:lineRule="auto"/>
              <w:ind w:left="0"/>
              <w:jc w:val="right"/>
              <w:rPr>
                <w:rFonts w:eastAsia="Times New Roman" w:cs="Arial"/>
                <w:sz w:val="18"/>
                <w:szCs w:val="18"/>
                <w:lang w:eastAsia="en-AU"/>
              </w:rPr>
            </w:pPr>
            <w:r w:rsidRPr="00D846CB">
              <w:rPr>
                <w:sz w:val="18"/>
                <w:szCs w:val="18"/>
              </w:rPr>
              <w:t>12,668</w:t>
            </w:r>
          </w:p>
        </w:tc>
        <w:tc>
          <w:tcPr>
            <w:tcW w:w="1417" w:type="dxa"/>
            <w:tcBorders>
              <w:top w:val="nil"/>
              <w:left w:val="nil"/>
              <w:bottom w:val="nil"/>
              <w:right w:val="nil"/>
            </w:tcBorders>
            <w:shd w:val="clear" w:color="000000" w:fill="CAE7F3"/>
            <w:noWrap/>
          </w:tcPr>
          <w:p w14:paraId="6D84EA73" w14:textId="0EAF5288" w:rsidR="009B0BCA" w:rsidRPr="00D846CB" w:rsidRDefault="009B0BCA" w:rsidP="009B0BCA">
            <w:pPr>
              <w:spacing w:after="0" w:line="240" w:lineRule="auto"/>
              <w:ind w:left="0"/>
              <w:jc w:val="right"/>
              <w:rPr>
                <w:rFonts w:eastAsia="Times New Roman" w:cs="Arial"/>
                <w:bCs/>
                <w:sz w:val="18"/>
                <w:szCs w:val="18"/>
                <w:lang w:eastAsia="en-AU"/>
              </w:rPr>
            </w:pPr>
            <w:r w:rsidRPr="00D846CB">
              <w:rPr>
                <w:sz w:val="18"/>
                <w:szCs w:val="18"/>
              </w:rPr>
              <w:t>4.9</w:t>
            </w:r>
          </w:p>
        </w:tc>
      </w:tr>
      <w:tr w:rsidR="009B0BCA" w:rsidRPr="001F1F3C" w14:paraId="79C451D0" w14:textId="77777777" w:rsidTr="0044181E">
        <w:trPr>
          <w:trHeight w:val="240"/>
        </w:trPr>
        <w:tc>
          <w:tcPr>
            <w:tcW w:w="3402" w:type="dxa"/>
            <w:tcBorders>
              <w:top w:val="nil"/>
              <w:left w:val="nil"/>
              <w:bottom w:val="nil"/>
              <w:right w:val="nil"/>
            </w:tcBorders>
            <w:shd w:val="clear" w:color="000000" w:fill="CAE7F3"/>
            <w:noWrap/>
            <w:hideMark/>
          </w:tcPr>
          <w:p w14:paraId="21B529E8" w14:textId="046AB521" w:rsidR="009B0BCA" w:rsidRPr="00D846CB" w:rsidRDefault="009B0BCA" w:rsidP="009B0BCA">
            <w:pPr>
              <w:spacing w:after="0" w:line="360" w:lineRule="auto"/>
              <w:ind w:left="0"/>
              <w:jc w:val="left"/>
              <w:rPr>
                <w:rFonts w:eastAsia="Times New Roman" w:cs="Arial"/>
                <w:sz w:val="18"/>
                <w:szCs w:val="18"/>
                <w:lang w:eastAsia="en-AU"/>
              </w:rPr>
            </w:pPr>
            <w:r w:rsidRPr="00D846CB">
              <w:rPr>
                <w:sz w:val="18"/>
                <w:szCs w:val="18"/>
              </w:rPr>
              <w:t>Bioenergy</w:t>
            </w:r>
          </w:p>
        </w:tc>
        <w:tc>
          <w:tcPr>
            <w:tcW w:w="1701" w:type="dxa"/>
            <w:tcBorders>
              <w:top w:val="nil"/>
              <w:left w:val="nil"/>
              <w:bottom w:val="nil"/>
              <w:right w:val="nil"/>
            </w:tcBorders>
            <w:shd w:val="clear" w:color="000000" w:fill="CAE7F3"/>
            <w:noWrap/>
          </w:tcPr>
          <w:p w14:paraId="3E157243" w14:textId="5C0996E6" w:rsidR="009B0BCA" w:rsidRPr="00D846CB" w:rsidRDefault="009B0BCA" w:rsidP="009B0BCA">
            <w:pPr>
              <w:spacing w:after="0" w:line="240" w:lineRule="auto"/>
              <w:ind w:left="0"/>
              <w:jc w:val="right"/>
              <w:rPr>
                <w:rFonts w:eastAsia="Times New Roman" w:cs="Arial"/>
                <w:sz w:val="18"/>
                <w:szCs w:val="18"/>
                <w:lang w:eastAsia="en-AU"/>
              </w:rPr>
            </w:pPr>
            <w:r w:rsidRPr="00D846CB">
              <w:rPr>
                <w:sz w:val="18"/>
                <w:szCs w:val="18"/>
              </w:rPr>
              <w:t>3,637</w:t>
            </w:r>
          </w:p>
        </w:tc>
        <w:tc>
          <w:tcPr>
            <w:tcW w:w="1417" w:type="dxa"/>
            <w:tcBorders>
              <w:top w:val="nil"/>
              <w:left w:val="nil"/>
              <w:bottom w:val="nil"/>
              <w:right w:val="nil"/>
            </w:tcBorders>
            <w:shd w:val="clear" w:color="000000" w:fill="CAE7F3"/>
            <w:noWrap/>
          </w:tcPr>
          <w:p w14:paraId="57CD4B08" w14:textId="42F8E2F7" w:rsidR="009B0BCA" w:rsidRPr="00D846CB" w:rsidRDefault="009B0BCA" w:rsidP="009B0BCA">
            <w:pPr>
              <w:spacing w:after="0" w:line="240" w:lineRule="auto"/>
              <w:ind w:left="0"/>
              <w:jc w:val="right"/>
              <w:rPr>
                <w:rFonts w:eastAsia="Times New Roman" w:cs="Arial"/>
                <w:bCs/>
                <w:sz w:val="18"/>
                <w:szCs w:val="18"/>
                <w:lang w:eastAsia="en-AU"/>
              </w:rPr>
            </w:pPr>
            <w:r w:rsidRPr="00D846CB">
              <w:rPr>
                <w:sz w:val="18"/>
                <w:szCs w:val="18"/>
              </w:rPr>
              <w:t>1.4</w:t>
            </w:r>
          </w:p>
        </w:tc>
      </w:tr>
      <w:tr w:rsidR="009B0BCA" w:rsidRPr="001F1F3C" w14:paraId="4A9D6D5B" w14:textId="77777777" w:rsidTr="0044181E">
        <w:trPr>
          <w:trHeight w:val="240"/>
        </w:trPr>
        <w:tc>
          <w:tcPr>
            <w:tcW w:w="3402" w:type="dxa"/>
            <w:tcBorders>
              <w:top w:val="nil"/>
              <w:left w:val="nil"/>
              <w:bottom w:val="nil"/>
              <w:right w:val="nil"/>
            </w:tcBorders>
            <w:shd w:val="clear" w:color="000000" w:fill="CAE7F3"/>
            <w:noWrap/>
            <w:hideMark/>
          </w:tcPr>
          <w:p w14:paraId="7B838594" w14:textId="573FD777" w:rsidR="009B0BCA" w:rsidRPr="00D846CB" w:rsidRDefault="009B0BCA" w:rsidP="009B0BCA">
            <w:pPr>
              <w:spacing w:after="0" w:line="360" w:lineRule="auto"/>
              <w:ind w:left="0"/>
              <w:jc w:val="left"/>
              <w:rPr>
                <w:rFonts w:eastAsia="Times New Roman" w:cs="Arial"/>
                <w:sz w:val="18"/>
                <w:szCs w:val="18"/>
                <w:lang w:eastAsia="en-AU"/>
              </w:rPr>
            </w:pPr>
            <w:r w:rsidRPr="00D846CB">
              <w:rPr>
                <w:sz w:val="18"/>
                <w:szCs w:val="18"/>
              </w:rPr>
              <w:t>Solar PV small scale</w:t>
            </w:r>
          </w:p>
        </w:tc>
        <w:tc>
          <w:tcPr>
            <w:tcW w:w="1701" w:type="dxa"/>
            <w:tcBorders>
              <w:top w:val="nil"/>
              <w:left w:val="nil"/>
              <w:bottom w:val="nil"/>
              <w:right w:val="nil"/>
            </w:tcBorders>
            <w:shd w:val="clear" w:color="000000" w:fill="CAE7F3"/>
            <w:noWrap/>
          </w:tcPr>
          <w:p w14:paraId="7FA88A0E" w14:textId="11FB0455" w:rsidR="009B0BCA" w:rsidRPr="00D846CB" w:rsidRDefault="009B0BCA" w:rsidP="009B0BCA">
            <w:pPr>
              <w:spacing w:after="0" w:line="240" w:lineRule="auto"/>
              <w:ind w:left="0"/>
              <w:jc w:val="right"/>
              <w:rPr>
                <w:rFonts w:eastAsia="Times New Roman" w:cs="Arial"/>
                <w:sz w:val="18"/>
                <w:szCs w:val="18"/>
                <w:lang w:eastAsia="en-AU"/>
              </w:rPr>
            </w:pPr>
            <w:r w:rsidRPr="00D846CB">
              <w:rPr>
                <w:sz w:val="18"/>
                <w:szCs w:val="18"/>
              </w:rPr>
              <w:t>8,082</w:t>
            </w:r>
          </w:p>
        </w:tc>
        <w:tc>
          <w:tcPr>
            <w:tcW w:w="1417" w:type="dxa"/>
            <w:tcBorders>
              <w:top w:val="nil"/>
              <w:left w:val="nil"/>
              <w:bottom w:val="nil"/>
              <w:right w:val="nil"/>
            </w:tcBorders>
            <w:shd w:val="clear" w:color="000000" w:fill="CAE7F3"/>
            <w:noWrap/>
          </w:tcPr>
          <w:p w14:paraId="7FC52EB2" w14:textId="251C5314" w:rsidR="009B0BCA" w:rsidRPr="00D846CB" w:rsidRDefault="009B0BCA" w:rsidP="009B0BCA">
            <w:pPr>
              <w:spacing w:after="0" w:line="240" w:lineRule="auto"/>
              <w:ind w:left="0"/>
              <w:jc w:val="right"/>
              <w:rPr>
                <w:rFonts w:eastAsia="Times New Roman" w:cs="Arial"/>
                <w:bCs/>
                <w:sz w:val="18"/>
                <w:szCs w:val="18"/>
                <w:lang w:eastAsia="en-AU"/>
              </w:rPr>
            </w:pPr>
            <w:r w:rsidRPr="00D846CB">
              <w:rPr>
                <w:sz w:val="18"/>
                <w:szCs w:val="18"/>
              </w:rPr>
              <w:t>3.1</w:t>
            </w:r>
          </w:p>
        </w:tc>
      </w:tr>
      <w:tr w:rsidR="009B0BCA" w:rsidRPr="001F1F3C" w14:paraId="1B9B6FCE" w14:textId="77777777" w:rsidTr="0044181E">
        <w:trPr>
          <w:trHeight w:val="240"/>
        </w:trPr>
        <w:tc>
          <w:tcPr>
            <w:tcW w:w="3402" w:type="dxa"/>
            <w:tcBorders>
              <w:top w:val="nil"/>
              <w:left w:val="nil"/>
              <w:bottom w:val="nil"/>
              <w:right w:val="nil"/>
            </w:tcBorders>
            <w:shd w:val="clear" w:color="000000" w:fill="CAE7F3"/>
            <w:noWrap/>
          </w:tcPr>
          <w:p w14:paraId="14791E4B" w14:textId="4125B928" w:rsidR="009B0BCA" w:rsidRPr="00D846CB" w:rsidRDefault="009B0BCA" w:rsidP="009B0BCA">
            <w:pPr>
              <w:spacing w:after="0" w:line="360" w:lineRule="auto"/>
              <w:ind w:left="0"/>
              <w:jc w:val="left"/>
              <w:rPr>
                <w:rFonts w:eastAsia="Times New Roman" w:cs="Arial"/>
                <w:color w:val="595A5B" w:themeColor="accent5"/>
                <w:sz w:val="18"/>
                <w:szCs w:val="18"/>
                <w:lang w:eastAsia="en-AU"/>
              </w:rPr>
            </w:pPr>
            <w:r w:rsidRPr="00D846CB">
              <w:rPr>
                <w:sz w:val="18"/>
                <w:szCs w:val="18"/>
              </w:rPr>
              <w:t>Solar PV large scale</w:t>
            </w:r>
          </w:p>
        </w:tc>
        <w:tc>
          <w:tcPr>
            <w:tcW w:w="1701" w:type="dxa"/>
            <w:tcBorders>
              <w:top w:val="nil"/>
              <w:left w:val="nil"/>
              <w:bottom w:val="nil"/>
              <w:right w:val="nil"/>
            </w:tcBorders>
            <w:shd w:val="clear" w:color="000000" w:fill="CAE7F3"/>
            <w:noWrap/>
          </w:tcPr>
          <w:p w14:paraId="058BDBBF" w14:textId="441448BC" w:rsidR="009B0BCA" w:rsidRPr="00D846CB" w:rsidRDefault="009B0BCA" w:rsidP="009B0BCA">
            <w:pPr>
              <w:spacing w:after="0" w:line="240" w:lineRule="auto"/>
              <w:ind w:left="0"/>
              <w:jc w:val="right"/>
              <w:rPr>
                <w:rFonts w:eastAsia="Times New Roman" w:cs="Arial"/>
                <w:sz w:val="18"/>
                <w:szCs w:val="18"/>
                <w:lang w:eastAsia="en-AU"/>
              </w:rPr>
            </w:pPr>
            <w:r w:rsidRPr="00D846CB">
              <w:rPr>
                <w:sz w:val="18"/>
                <w:szCs w:val="18"/>
              </w:rPr>
              <w:t>766</w:t>
            </w:r>
          </w:p>
        </w:tc>
        <w:tc>
          <w:tcPr>
            <w:tcW w:w="1417" w:type="dxa"/>
            <w:tcBorders>
              <w:top w:val="nil"/>
              <w:left w:val="nil"/>
              <w:bottom w:val="nil"/>
              <w:right w:val="nil"/>
            </w:tcBorders>
            <w:shd w:val="clear" w:color="000000" w:fill="CAE7F3"/>
            <w:noWrap/>
          </w:tcPr>
          <w:p w14:paraId="6179E036" w14:textId="3689F406" w:rsidR="009B0BCA" w:rsidRPr="00D846CB" w:rsidRDefault="009B0BCA" w:rsidP="009B0BCA">
            <w:pPr>
              <w:spacing w:after="0" w:line="240" w:lineRule="auto"/>
              <w:ind w:left="0"/>
              <w:jc w:val="right"/>
              <w:rPr>
                <w:rFonts w:eastAsia="Times New Roman" w:cs="Arial"/>
                <w:bCs/>
                <w:sz w:val="18"/>
                <w:szCs w:val="18"/>
                <w:lang w:eastAsia="en-AU"/>
              </w:rPr>
            </w:pPr>
            <w:r w:rsidRPr="00D846CB">
              <w:rPr>
                <w:sz w:val="18"/>
                <w:szCs w:val="18"/>
              </w:rPr>
              <w:t>0.3</w:t>
            </w:r>
          </w:p>
        </w:tc>
      </w:tr>
      <w:tr w:rsidR="009B0BCA" w:rsidRPr="001F1F3C" w14:paraId="057C9AAA" w14:textId="77777777" w:rsidTr="0044181E">
        <w:trPr>
          <w:trHeight w:val="240"/>
        </w:trPr>
        <w:tc>
          <w:tcPr>
            <w:tcW w:w="3402" w:type="dxa"/>
            <w:tcBorders>
              <w:top w:val="nil"/>
              <w:left w:val="nil"/>
              <w:bottom w:val="nil"/>
              <w:right w:val="nil"/>
            </w:tcBorders>
            <w:shd w:val="clear" w:color="000000" w:fill="CAE7F3"/>
            <w:noWrap/>
            <w:hideMark/>
          </w:tcPr>
          <w:p w14:paraId="351CF2CD" w14:textId="2F79F714" w:rsidR="009B0BCA" w:rsidRPr="00D846CB" w:rsidRDefault="009B0BCA" w:rsidP="009B0BCA">
            <w:pPr>
              <w:spacing w:after="0" w:line="480" w:lineRule="auto"/>
              <w:ind w:left="0"/>
              <w:jc w:val="left"/>
              <w:rPr>
                <w:rFonts w:eastAsia="Times New Roman" w:cs="Arial"/>
                <w:sz w:val="18"/>
                <w:szCs w:val="18"/>
                <w:lang w:eastAsia="en-AU"/>
              </w:rPr>
            </w:pPr>
            <w:r w:rsidRPr="00D846CB">
              <w:rPr>
                <w:sz w:val="18"/>
                <w:szCs w:val="18"/>
              </w:rPr>
              <w:t>Geothermal</w:t>
            </w:r>
          </w:p>
        </w:tc>
        <w:tc>
          <w:tcPr>
            <w:tcW w:w="1701" w:type="dxa"/>
            <w:tcBorders>
              <w:top w:val="nil"/>
              <w:left w:val="nil"/>
              <w:bottom w:val="nil"/>
              <w:right w:val="nil"/>
            </w:tcBorders>
            <w:shd w:val="clear" w:color="000000" w:fill="CAE7F3"/>
            <w:noWrap/>
          </w:tcPr>
          <w:p w14:paraId="329B6875" w14:textId="62D67C1F" w:rsidR="009B0BCA" w:rsidRPr="00D846CB" w:rsidRDefault="009B0BCA" w:rsidP="009B0BCA">
            <w:pPr>
              <w:spacing w:after="0" w:line="240" w:lineRule="auto"/>
              <w:ind w:left="0"/>
              <w:jc w:val="right"/>
              <w:rPr>
                <w:rFonts w:eastAsia="Times New Roman" w:cs="Arial"/>
                <w:sz w:val="18"/>
                <w:szCs w:val="18"/>
                <w:lang w:eastAsia="en-AU"/>
              </w:rPr>
            </w:pPr>
            <w:r w:rsidRPr="00D846CB">
              <w:rPr>
                <w:sz w:val="18"/>
                <w:szCs w:val="18"/>
              </w:rPr>
              <w:t>1</w:t>
            </w:r>
          </w:p>
        </w:tc>
        <w:tc>
          <w:tcPr>
            <w:tcW w:w="1417" w:type="dxa"/>
            <w:tcBorders>
              <w:top w:val="nil"/>
              <w:left w:val="nil"/>
              <w:bottom w:val="nil"/>
              <w:right w:val="nil"/>
            </w:tcBorders>
            <w:shd w:val="clear" w:color="000000" w:fill="CAE7F3"/>
            <w:noWrap/>
          </w:tcPr>
          <w:p w14:paraId="0F031D02" w14:textId="01E5AE5D" w:rsidR="009B0BCA" w:rsidRPr="00D846CB" w:rsidRDefault="009B0BCA" w:rsidP="009B0BCA">
            <w:pPr>
              <w:spacing w:after="0" w:line="240" w:lineRule="auto"/>
              <w:ind w:left="0"/>
              <w:jc w:val="right"/>
              <w:rPr>
                <w:rFonts w:eastAsia="Times New Roman" w:cs="Arial"/>
                <w:bCs/>
                <w:sz w:val="18"/>
                <w:szCs w:val="18"/>
                <w:lang w:eastAsia="en-AU"/>
              </w:rPr>
            </w:pPr>
            <w:r w:rsidRPr="00D846CB">
              <w:rPr>
                <w:sz w:val="18"/>
                <w:szCs w:val="18"/>
              </w:rPr>
              <w:t>0.0</w:t>
            </w:r>
          </w:p>
        </w:tc>
      </w:tr>
      <w:tr w:rsidR="009B0BCA" w:rsidRPr="001F1F3C" w14:paraId="5F184320" w14:textId="77777777" w:rsidTr="0044181E">
        <w:trPr>
          <w:trHeight w:val="255"/>
        </w:trPr>
        <w:tc>
          <w:tcPr>
            <w:tcW w:w="3402" w:type="dxa"/>
            <w:tcBorders>
              <w:top w:val="nil"/>
              <w:left w:val="nil"/>
              <w:bottom w:val="single" w:sz="8" w:space="0" w:color="FFFFFF"/>
              <w:right w:val="nil"/>
            </w:tcBorders>
            <w:shd w:val="clear" w:color="000000" w:fill="CAE7F3"/>
            <w:noWrap/>
            <w:hideMark/>
          </w:tcPr>
          <w:p w14:paraId="1846236F" w14:textId="46210F47" w:rsidR="009B0BCA" w:rsidRPr="00D846CB" w:rsidRDefault="009B0BCA" w:rsidP="009B0BCA">
            <w:pPr>
              <w:spacing w:after="0" w:line="360" w:lineRule="auto"/>
              <w:ind w:left="0"/>
              <w:jc w:val="left"/>
              <w:rPr>
                <w:rFonts w:eastAsia="Times New Roman" w:cs="Arial"/>
                <w:b/>
                <w:bCs/>
                <w:sz w:val="18"/>
                <w:szCs w:val="18"/>
                <w:lang w:eastAsia="en-AU"/>
              </w:rPr>
            </w:pPr>
            <w:r w:rsidRPr="00D846CB">
              <w:rPr>
                <w:b/>
                <w:sz w:val="18"/>
                <w:szCs w:val="18"/>
              </w:rPr>
              <w:t>Total</w:t>
            </w:r>
          </w:p>
        </w:tc>
        <w:tc>
          <w:tcPr>
            <w:tcW w:w="1701" w:type="dxa"/>
            <w:tcBorders>
              <w:top w:val="nil"/>
              <w:left w:val="nil"/>
              <w:bottom w:val="nil"/>
              <w:right w:val="nil"/>
            </w:tcBorders>
            <w:shd w:val="clear" w:color="000000" w:fill="CAE7F3"/>
            <w:noWrap/>
            <w:hideMark/>
          </w:tcPr>
          <w:p w14:paraId="55CA0B3A" w14:textId="16ADFAC3" w:rsidR="009B0BCA" w:rsidRPr="00D846CB" w:rsidRDefault="009B0BCA" w:rsidP="009B0BCA">
            <w:pPr>
              <w:spacing w:after="0" w:line="240" w:lineRule="auto"/>
              <w:ind w:left="0"/>
              <w:jc w:val="right"/>
              <w:rPr>
                <w:rFonts w:eastAsia="Times New Roman" w:cs="Arial"/>
                <w:b/>
                <w:bCs/>
                <w:sz w:val="18"/>
                <w:szCs w:val="18"/>
                <w:lang w:eastAsia="en-AU"/>
              </w:rPr>
            </w:pPr>
            <w:r w:rsidRPr="00D846CB">
              <w:rPr>
                <w:b/>
                <w:sz w:val="18"/>
                <w:szCs w:val="18"/>
              </w:rPr>
              <w:t>259,446</w:t>
            </w:r>
          </w:p>
        </w:tc>
        <w:tc>
          <w:tcPr>
            <w:tcW w:w="1417" w:type="dxa"/>
            <w:tcBorders>
              <w:top w:val="nil"/>
              <w:left w:val="nil"/>
              <w:bottom w:val="nil"/>
              <w:right w:val="nil"/>
            </w:tcBorders>
            <w:shd w:val="clear" w:color="000000" w:fill="CAE7F3"/>
            <w:noWrap/>
            <w:hideMark/>
          </w:tcPr>
          <w:p w14:paraId="431D88DC" w14:textId="7950320B" w:rsidR="009B0BCA" w:rsidRPr="00D846CB" w:rsidRDefault="009B0BCA" w:rsidP="009B0BCA">
            <w:pPr>
              <w:spacing w:after="0" w:line="240" w:lineRule="auto"/>
              <w:ind w:left="0"/>
              <w:jc w:val="right"/>
              <w:rPr>
                <w:rFonts w:eastAsia="Times New Roman" w:cs="Arial"/>
                <w:b/>
                <w:bCs/>
                <w:sz w:val="18"/>
                <w:szCs w:val="18"/>
                <w:lang w:eastAsia="en-AU"/>
              </w:rPr>
            </w:pPr>
            <w:r w:rsidRPr="00D846CB">
              <w:rPr>
                <w:b/>
                <w:sz w:val="18"/>
                <w:szCs w:val="18"/>
              </w:rPr>
              <w:t>100.0</w:t>
            </w:r>
          </w:p>
        </w:tc>
      </w:tr>
    </w:tbl>
    <w:p w14:paraId="40D40F59" w14:textId="54B9EAC7" w:rsidR="00BA39B4" w:rsidRDefault="000C00EB" w:rsidP="00580D41">
      <w:pPr>
        <w:pStyle w:val="Source"/>
        <w:rPr>
          <w:color w:val="595A5B" w:themeColor="text2"/>
          <w:szCs w:val="16"/>
        </w:rPr>
      </w:pPr>
      <w:r w:rsidRPr="001F1F3C">
        <w:rPr>
          <w:color w:val="595A5B" w:themeColor="text2"/>
        </w:rPr>
        <w:t xml:space="preserve">Source: </w:t>
      </w:r>
      <w:r w:rsidRPr="001F1F3C">
        <w:rPr>
          <w:color w:val="595A5B" w:themeColor="text2"/>
          <w:szCs w:val="16"/>
        </w:rPr>
        <w:t>Department of the Environment and Energy (</w:t>
      </w:r>
      <w:r w:rsidR="003F2CCE" w:rsidRPr="001F1F3C">
        <w:rPr>
          <w:color w:val="595A5B" w:themeColor="text2"/>
          <w:szCs w:val="16"/>
        </w:rPr>
        <w:t>2018</w:t>
      </w:r>
      <w:r w:rsidRPr="001F1F3C">
        <w:rPr>
          <w:color w:val="595A5B" w:themeColor="text2"/>
          <w:szCs w:val="16"/>
        </w:rPr>
        <w:t xml:space="preserve">) </w:t>
      </w:r>
      <w:r w:rsidRPr="001F1F3C">
        <w:rPr>
          <w:i/>
          <w:color w:val="595A5B" w:themeColor="text2"/>
          <w:szCs w:val="16"/>
        </w:rPr>
        <w:t>Australian Energy Statistics</w:t>
      </w:r>
      <w:r w:rsidRPr="001F1F3C">
        <w:rPr>
          <w:color w:val="595A5B" w:themeColor="text2"/>
          <w:szCs w:val="16"/>
        </w:rPr>
        <w:t xml:space="preserve">, </w:t>
      </w:r>
      <w:r w:rsidRPr="001F1F3C">
        <w:rPr>
          <w:color w:val="595A5B" w:themeColor="text2"/>
          <w:szCs w:val="16"/>
        </w:rPr>
        <w:br/>
        <w:t>Table O</w:t>
      </w:r>
    </w:p>
    <w:p w14:paraId="3FED7120" w14:textId="1620D192" w:rsidR="003348D2" w:rsidRPr="001F1F3C" w:rsidRDefault="003348D2" w:rsidP="003348D2">
      <w:pPr>
        <w:pStyle w:val="Caption"/>
        <w:ind w:left="-1985"/>
      </w:pPr>
      <w:bookmarkStart w:id="152" w:name="_Toc523777430"/>
      <w:r>
        <w:lastRenderedPageBreak/>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3</w:t>
      </w:r>
      <w:r w:rsidR="00941B67">
        <w:rPr>
          <w:noProof/>
        </w:rPr>
        <w:fldChar w:fldCharType="end"/>
      </w:r>
      <w:r>
        <w:t>.</w:t>
      </w:r>
      <w:r w:rsidR="00941B67">
        <w:rPr>
          <w:noProof/>
        </w:rPr>
        <w:fldChar w:fldCharType="begin"/>
      </w:r>
      <w:r w:rsidR="00941B67">
        <w:rPr>
          <w:noProof/>
        </w:rPr>
        <w:instrText xml:space="preserve"> SEQ Figure \* ARABIC \s 1 </w:instrText>
      </w:r>
      <w:r w:rsidR="00941B67">
        <w:rPr>
          <w:noProof/>
        </w:rPr>
        <w:fldChar w:fldCharType="separate"/>
      </w:r>
      <w:r w:rsidR="00D72ABB">
        <w:rPr>
          <w:noProof/>
        </w:rPr>
        <w:t>7</w:t>
      </w:r>
      <w:r w:rsidR="00941B67">
        <w:rPr>
          <w:noProof/>
        </w:rPr>
        <w:fldChar w:fldCharType="end"/>
      </w:r>
      <w:r>
        <w:t xml:space="preserve">: </w:t>
      </w:r>
      <w:r w:rsidRPr="001F1F3C">
        <w:t>Au</w:t>
      </w:r>
      <w:r>
        <w:t xml:space="preserve">stralian electricity generation fuel mix, </w:t>
      </w:r>
      <w:r w:rsidR="004A2FBD">
        <w:t xml:space="preserve">calendar year </w:t>
      </w:r>
      <w:r>
        <w:t>2017</w:t>
      </w:r>
      <w:bookmarkEnd w:id="152"/>
    </w:p>
    <w:tbl>
      <w:tblPr>
        <w:tblStyle w:val="OCETable"/>
        <w:tblW w:w="6379" w:type="pct"/>
        <w:tblInd w:w="-1877" w:type="dxa"/>
        <w:tblLayout w:type="fixed"/>
        <w:tblLook w:val="04A0" w:firstRow="1" w:lastRow="0" w:firstColumn="1" w:lastColumn="0" w:noHBand="0" w:noVBand="1"/>
        <w:tblCaption w:val="Placeholder obejct only"/>
      </w:tblPr>
      <w:tblGrid>
        <w:gridCol w:w="8795"/>
      </w:tblGrid>
      <w:tr w:rsidR="003348D2" w:rsidRPr="001F1F3C" w14:paraId="5981CC30" w14:textId="77777777" w:rsidTr="003348D2">
        <w:trPr>
          <w:cnfStyle w:val="100000000000" w:firstRow="1" w:lastRow="0" w:firstColumn="0" w:lastColumn="0" w:oddVBand="0" w:evenVBand="0" w:oddHBand="0" w:evenHBand="0" w:firstRowFirstColumn="0" w:firstRowLastColumn="0" w:lastRowFirstColumn="0" w:lastRowLastColumn="0"/>
          <w:tblHeader/>
        </w:trPr>
        <w:tc>
          <w:tcPr>
            <w:tcW w:w="8795" w:type="dxa"/>
            <w:shd w:val="clear" w:color="auto" w:fill="auto"/>
          </w:tcPr>
          <w:p w14:paraId="1319A2A8" w14:textId="11C8C4EB" w:rsidR="003348D2" w:rsidRPr="001F1F3C" w:rsidRDefault="003348D2" w:rsidP="003348D2">
            <w:pPr>
              <w:pStyle w:val="PlaceholderWide"/>
              <w:ind w:left="-1985"/>
              <w:jc w:val="right"/>
            </w:pPr>
            <w:r>
              <w:rPr>
                <w:noProof/>
                <w:lang w:eastAsia="en-AU"/>
              </w:rPr>
              <w:drawing>
                <wp:inline distT="0" distB="0" distL="0" distR="0" wp14:anchorId="73FFFDE6" wp14:editId="6E581E44">
                  <wp:extent cx="5407660" cy="3249295"/>
                  <wp:effectExtent l="0" t="0" r="2540" b="8255"/>
                  <wp:docPr id="8" name="Picture 8" descr="This figure shows Australian electricity generation fuel mix in shares in calendar year 2017 by state and territory" title="Figure 3.7: Australian electricity generation fuel mix,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7660" cy="3249295"/>
                          </a:xfrm>
                          <a:prstGeom prst="rect">
                            <a:avLst/>
                          </a:prstGeom>
                          <a:noFill/>
                        </pic:spPr>
                      </pic:pic>
                    </a:graphicData>
                  </a:graphic>
                </wp:inline>
              </w:drawing>
            </w:r>
          </w:p>
        </w:tc>
      </w:tr>
    </w:tbl>
    <w:p w14:paraId="63834060" w14:textId="77777777" w:rsidR="003348D2" w:rsidRPr="001F1F3C" w:rsidRDefault="003348D2" w:rsidP="003348D2">
      <w:pPr>
        <w:pStyle w:val="SourceWide"/>
        <w:spacing w:after="480"/>
        <w:rPr>
          <w:color w:val="595A5B" w:themeColor="text2"/>
        </w:rPr>
      </w:pPr>
      <w:r w:rsidRPr="001F1F3C">
        <w:rPr>
          <w:color w:val="595A5B" w:themeColor="text2"/>
        </w:rPr>
        <w:t xml:space="preserve">Source: </w:t>
      </w:r>
      <w:r w:rsidRPr="001F1F3C">
        <w:rPr>
          <w:color w:val="595A5B" w:themeColor="text2"/>
          <w:szCs w:val="16"/>
        </w:rPr>
        <w:t xml:space="preserve">Department of the Environment and Energy (2018) </w:t>
      </w:r>
      <w:r w:rsidRPr="001F1F3C">
        <w:rPr>
          <w:i/>
          <w:color w:val="595A5B" w:themeColor="text2"/>
          <w:szCs w:val="16"/>
        </w:rPr>
        <w:t>Australian Energy Statistics</w:t>
      </w:r>
      <w:r w:rsidRPr="001F1F3C">
        <w:rPr>
          <w:color w:val="595A5B" w:themeColor="text2"/>
          <w:szCs w:val="16"/>
        </w:rPr>
        <w:t>, Table O</w:t>
      </w:r>
    </w:p>
    <w:p w14:paraId="63E786CA" w14:textId="77777777" w:rsidR="001F4600" w:rsidRPr="001F1F3C" w:rsidRDefault="001F4600" w:rsidP="003348D2">
      <w:pPr>
        <w:ind w:left="0"/>
      </w:pPr>
    </w:p>
    <w:p w14:paraId="442AD4CA" w14:textId="77777777" w:rsidR="00BA2B25" w:rsidRPr="001F1F3C" w:rsidRDefault="00BA2B25">
      <w:pPr>
        <w:spacing w:after="200" w:line="276" w:lineRule="auto"/>
        <w:ind w:left="0"/>
        <w:jc w:val="left"/>
        <w:rPr>
          <w:rFonts w:asciiTheme="majorHAnsi" w:eastAsia="Times New Roman" w:hAnsiTheme="majorHAnsi" w:cs="Arial"/>
          <w:b/>
          <w:bCs/>
          <w:color w:val="292B67" w:themeColor="accent1"/>
          <w:kern w:val="32"/>
          <w:sz w:val="32"/>
          <w:szCs w:val="32"/>
        </w:rPr>
      </w:pPr>
      <w:bookmarkStart w:id="153" w:name="_Toc392157288"/>
      <w:bookmarkStart w:id="154" w:name="_Toc427614401"/>
      <w:bookmarkStart w:id="155" w:name="_Toc428130035"/>
      <w:r w:rsidRPr="001F1F3C">
        <w:br w:type="page"/>
      </w:r>
    </w:p>
    <w:p w14:paraId="3A322851" w14:textId="77777777" w:rsidR="001F4600" w:rsidRPr="001F1F3C" w:rsidRDefault="001F4600" w:rsidP="001F4600">
      <w:pPr>
        <w:pStyle w:val="Heading1"/>
      </w:pPr>
      <w:bookmarkStart w:id="156" w:name="_Toc522197033"/>
      <w:bookmarkStart w:id="157" w:name="_Toc522633194"/>
      <w:r w:rsidRPr="001F1F3C">
        <w:lastRenderedPageBreak/>
        <w:t>Energy trade</w:t>
      </w:r>
      <w:bookmarkEnd w:id="153"/>
      <w:bookmarkEnd w:id="154"/>
      <w:bookmarkEnd w:id="155"/>
      <w:bookmarkEnd w:id="156"/>
      <w:bookmarkEnd w:id="157"/>
    </w:p>
    <w:p w14:paraId="31418A96" w14:textId="77777777" w:rsidR="001F4600" w:rsidRPr="001F1F3C" w:rsidRDefault="001F4600" w:rsidP="001F4600">
      <w:pPr>
        <w:pStyle w:val="Heading2"/>
      </w:pPr>
      <w:bookmarkStart w:id="158" w:name="_Toc392157289"/>
      <w:bookmarkStart w:id="159" w:name="_Toc427614402"/>
      <w:bookmarkStart w:id="160" w:name="_Toc428130036"/>
      <w:bookmarkStart w:id="161" w:name="_Toc522197034"/>
      <w:bookmarkStart w:id="162" w:name="_Toc522633195"/>
      <w:r w:rsidRPr="001F1F3C">
        <w:t>Exports</w:t>
      </w:r>
      <w:bookmarkEnd w:id="158"/>
      <w:bookmarkEnd w:id="159"/>
      <w:bookmarkEnd w:id="160"/>
      <w:bookmarkEnd w:id="161"/>
      <w:bookmarkEnd w:id="162"/>
    </w:p>
    <w:p w14:paraId="350317A7" w14:textId="5C9538C9" w:rsidR="00CF5AC7" w:rsidRPr="001F1F3C" w:rsidRDefault="00CF5AC7" w:rsidP="00CF5AC7">
      <w:pPr>
        <w:pStyle w:val="BodyText"/>
      </w:pPr>
      <w:r w:rsidRPr="001F1F3C">
        <w:t>Australia exports a significant proportion of i</w:t>
      </w:r>
      <w:r w:rsidR="00606A78">
        <w:t>ts energy production. Around 88 </w:t>
      </w:r>
      <w:r w:rsidRPr="001F1F3C">
        <w:t xml:space="preserve">per cent of black coal production was exported in 2016–17, as was around </w:t>
      </w:r>
      <w:r w:rsidR="00F257F0">
        <w:t>69</w:t>
      </w:r>
      <w:r w:rsidRPr="001F1F3C">
        <w:t xml:space="preserve"> per cent of natural gas production</w:t>
      </w:r>
      <w:r w:rsidR="00F257F0">
        <w:t xml:space="preserve"> and 79</w:t>
      </w:r>
      <w:r w:rsidR="004327C2">
        <w:t xml:space="preserve"> per cent of crude oil production</w:t>
      </w:r>
      <w:r w:rsidRPr="001F1F3C">
        <w:t>. Australia’s energy exports rose by 4 per cent in 2016–17 to reach 1</w:t>
      </w:r>
      <w:r w:rsidR="00A84085">
        <w:t>4</w:t>
      </w:r>
      <w:r w:rsidRPr="001F1F3C">
        <w:t>,</w:t>
      </w:r>
      <w:r w:rsidR="00A84085">
        <w:t>140</w:t>
      </w:r>
      <w:r w:rsidR="00606A78">
        <w:t> </w:t>
      </w:r>
      <w:r w:rsidRPr="001F1F3C">
        <w:t xml:space="preserve">petajoules, supported by a large increase in LNG exports (Table </w:t>
      </w:r>
      <w:r w:rsidR="00823AE6">
        <w:t>4</w:t>
      </w:r>
      <w:r w:rsidRPr="001F1F3C">
        <w:t xml:space="preserve">.1; Figure </w:t>
      </w:r>
      <w:r w:rsidR="00823AE6">
        <w:t>4</w:t>
      </w:r>
      <w:r w:rsidRPr="001F1F3C">
        <w:t xml:space="preserve">.1). </w:t>
      </w:r>
    </w:p>
    <w:p w14:paraId="0176D378" w14:textId="4C88630C" w:rsidR="001F4600" w:rsidRPr="001F1F3C" w:rsidRDefault="00C1400E" w:rsidP="00082FE6">
      <w:pPr>
        <w:pStyle w:val="Caption"/>
      </w:pPr>
      <w:bookmarkStart w:id="163" w:name="_Toc461142066"/>
      <w:bookmarkStart w:id="164" w:name="_Toc522199781"/>
      <w:bookmarkStart w:id="165" w:name="_Toc522635725"/>
      <w:r>
        <w:t xml:space="preserve">Table </w:t>
      </w:r>
      <w:r w:rsidR="00941B67">
        <w:rPr>
          <w:noProof/>
        </w:rPr>
        <w:fldChar w:fldCharType="begin"/>
      </w:r>
      <w:r w:rsidR="00941B67">
        <w:rPr>
          <w:noProof/>
        </w:rPr>
        <w:instrText xml:space="preserve"> STYLEREF 1 \s </w:instrText>
      </w:r>
      <w:r w:rsidR="00941B67">
        <w:rPr>
          <w:noProof/>
        </w:rPr>
        <w:fldChar w:fldCharType="separate"/>
      </w:r>
      <w:r w:rsidR="00D72ABB">
        <w:rPr>
          <w:noProof/>
        </w:rPr>
        <w:t>4</w:t>
      </w:r>
      <w:r w:rsidR="00941B67">
        <w:rPr>
          <w:noProof/>
        </w:rPr>
        <w:fldChar w:fldCharType="end"/>
      </w:r>
      <w:r>
        <w:t>.</w:t>
      </w:r>
      <w:r w:rsidR="00941B67">
        <w:rPr>
          <w:noProof/>
        </w:rPr>
        <w:fldChar w:fldCharType="begin"/>
      </w:r>
      <w:r w:rsidR="00941B67">
        <w:rPr>
          <w:noProof/>
        </w:rPr>
        <w:instrText xml:space="preserve"> SEQ Table \* ARABIC \s 1 </w:instrText>
      </w:r>
      <w:r w:rsidR="00941B67">
        <w:rPr>
          <w:noProof/>
        </w:rPr>
        <w:fldChar w:fldCharType="separate"/>
      </w:r>
      <w:r w:rsidR="00D72ABB">
        <w:rPr>
          <w:noProof/>
        </w:rPr>
        <w:t>1</w:t>
      </w:r>
      <w:r w:rsidR="00941B67">
        <w:rPr>
          <w:noProof/>
        </w:rPr>
        <w:fldChar w:fldCharType="end"/>
      </w:r>
      <w:r>
        <w:t xml:space="preserve">: </w:t>
      </w:r>
      <w:r w:rsidR="001F4600" w:rsidRPr="001F1F3C">
        <w:t>Australian energy exports, by fuel type</w:t>
      </w:r>
      <w:bookmarkEnd w:id="163"/>
      <w:bookmarkEnd w:id="164"/>
      <w:bookmarkEnd w:id="165"/>
    </w:p>
    <w:tbl>
      <w:tblPr>
        <w:tblW w:w="5031" w:type="pct"/>
        <w:tblBorders>
          <w:bottom w:val="single" w:sz="4" w:space="0" w:color="auto"/>
        </w:tblBorders>
        <w:shd w:val="clear" w:color="auto" w:fill="CAE7F3"/>
        <w:tblLook w:val="04C0" w:firstRow="0" w:lastRow="1" w:firstColumn="1" w:lastColumn="0" w:noHBand="0" w:noVBand="1"/>
      </w:tblPr>
      <w:tblGrid>
        <w:gridCol w:w="1584"/>
        <w:gridCol w:w="401"/>
        <w:gridCol w:w="991"/>
        <w:gridCol w:w="814"/>
        <w:gridCol w:w="178"/>
        <w:gridCol w:w="455"/>
        <w:gridCol w:w="236"/>
        <w:gridCol w:w="1139"/>
        <w:gridCol w:w="1139"/>
      </w:tblGrid>
      <w:tr w:rsidR="00790447" w:rsidRPr="001F1F3C" w14:paraId="5AFF7806" w14:textId="77777777" w:rsidTr="00DE6AFF">
        <w:trPr>
          <w:trHeight w:val="283"/>
        </w:trPr>
        <w:tc>
          <w:tcPr>
            <w:tcW w:w="1431" w:type="pct"/>
            <w:gridSpan w:val="2"/>
            <w:tcBorders>
              <w:bottom w:val="nil"/>
            </w:tcBorders>
            <w:shd w:val="clear" w:color="auto" w:fill="22789A"/>
            <w:noWrap/>
            <w:vAlign w:val="bottom"/>
            <w:hideMark/>
          </w:tcPr>
          <w:p w14:paraId="11143113" w14:textId="77777777" w:rsidR="00790447" w:rsidRPr="001F1F3C" w:rsidRDefault="00790447" w:rsidP="00676F30">
            <w:pPr>
              <w:pStyle w:val="Tableheader"/>
              <w:rPr>
                <w:lang w:eastAsia="en-AU"/>
              </w:rPr>
            </w:pPr>
          </w:p>
        </w:tc>
        <w:tc>
          <w:tcPr>
            <w:tcW w:w="1301" w:type="pct"/>
            <w:gridSpan w:val="2"/>
            <w:tcBorders>
              <w:bottom w:val="nil"/>
            </w:tcBorders>
            <w:shd w:val="clear" w:color="auto" w:fill="22789A"/>
            <w:noWrap/>
            <w:vAlign w:val="bottom"/>
            <w:hideMark/>
          </w:tcPr>
          <w:p w14:paraId="4EAB6D29" w14:textId="77777777" w:rsidR="00790447" w:rsidRPr="001F1F3C" w:rsidRDefault="00790447" w:rsidP="00676F30">
            <w:pPr>
              <w:pStyle w:val="Tableheader"/>
              <w:jc w:val="center"/>
              <w:rPr>
                <w:iCs/>
                <w:color w:val="FFFFFF" w:themeColor="background2"/>
                <w:lang w:eastAsia="en-AU"/>
              </w:rPr>
            </w:pPr>
            <w:r w:rsidRPr="001F1F3C">
              <w:rPr>
                <w:iCs/>
                <w:color w:val="FFFFFF" w:themeColor="background2"/>
                <w:lang w:eastAsia="en-AU"/>
              </w:rPr>
              <w:t>2016–17</w:t>
            </w:r>
          </w:p>
        </w:tc>
        <w:tc>
          <w:tcPr>
            <w:tcW w:w="456" w:type="pct"/>
            <w:gridSpan w:val="2"/>
            <w:tcBorders>
              <w:bottom w:val="nil"/>
            </w:tcBorders>
            <w:shd w:val="clear" w:color="auto" w:fill="22789A"/>
            <w:noWrap/>
            <w:vAlign w:val="bottom"/>
            <w:hideMark/>
          </w:tcPr>
          <w:p w14:paraId="21878DC5" w14:textId="77777777" w:rsidR="00790447" w:rsidRPr="001F1F3C" w:rsidRDefault="00790447" w:rsidP="00676F30">
            <w:pPr>
              <w:pStyle w:val="Tableheader"/>
              <w:rPr>
                <w:iCs/>
                <w:color w:val="FFFFFF" w:themeColor="background2"/>
                <w:lang w:eastAsia="en-AU"/>
              </w:rPr>
            </w:pPr>
          </w:p>
        </w:tc>
        <w:tc>
          <w:tcPr>
            <w:tcW w:w="1812" w:type="pct"/>
            <w:gridSpan w:val="3"/>
            <w:tcBorders>
              <w:bottom w:val="nil"/>
            </w:tcBorders>
            <w:shd w:val="clear" w:color="auto" w:fill="22789A"/>
            <w:noWrap/>
            <w:vAlign w:val="bottom"/>
            <w:hideMark/>
          </w:tcPr>
          <w:p w14:paraId="68568A2B" w14:textId="77777777" w:rsidR="00790447" w:rsidRPr="001F1F3C" w:rsidRDefault="00790447" w:rsidP="00676F30">
            <w:pPr>
              <w:pStyle w:val="Tableheader"/>
              <w:jc w:val="center"/>
              <w:rPr>
                <w:iCs/>
                <w:color w:val="FFFFFF" w:themeColor="background2"/>
                <w:lang w:eastAsia="en-AU"/>
              </w:rPr>
            </w:pPr>
            <w:r w:rsidRPr="001F1F3C">
              <w:rPr>
                <w:iCs/>
                <w:color w:val="FFFFFF" w:themeColor="background2"/>
                <w:lang w:eastAsia="en-AU"/>
              </w:rPr>
              <w:t>Average annual growth</w:t>
            </w:r>
          </w:p>
        </w:tc>
      </w:tr>
      <w:tr w:rsidR="00617899" w:rsidRPr="001F1F3C" w14:paraId="1C4DD065" w14:textId="77777777" w:rsidTr="00617899">
        <w:trPr>
          <w:trHeight w:val="162"/>
        </w:trPr>
        <w:tc>
          <w:tcPr>
            <w:tcW w:w="1142" w:type="pct"/>
            <w:tcBorders>
              <w:top w:val="nil"/>
            </w:tcBorders>
            <w:shd w:val="clear" w:color="auto" w:fill="CAE7F3"/>
            <w:noWrap/>
            <w:vAlign w:val="bottom"/>
            <w:hideMark/>
          </w:tcPr>
          <w:p w14:paraId="15AC674F" w14:textId="77777777" w:rsidR="00790447" w:rsidRPr="001F1F3C" w:rsidRDefault="00790447" w:rsidP="00676F30">
            <w:pPr>
              <w:pStyle w:val="Tabletext"/>
              <w:rPr>
                <w:i/>
                <w:iCs/>
                <w:color w:val="595A5B" w:themeColor="accent5"/>
                <w:lang w:eastAsia="en-AU"/>
              </w:rPr>
            </w:pPr>
          </w:p>
        </w:tc>
        <w:tc>
          <w:tcPr>
            <w:tcW w:w="1003" w:type="pct"/>
            <w:gridSpan w:val="2"/>
            <w:tcBorders>
              <w:top w:val="nil"/>
            </w:tcBorders>
            <w:shd w:val="clear" w:color="auto" w:fill="CAE7F3"/>
            <w:noWrap/>
            <w:vAlign w:val="bottom"/>
            <w:hideMark/>
          </w:tcPr>
          <w:p w14:paraId="1203EF1C" w14:textId="77777777" w:rsidR="00790447" w:rsidRPr="001F1F3C" w:rsidRDefault="00790447" w:rsidP="00676F30">
            <w:pPr>
              <w:pStyle w:val="Tabletext"/>
              <w:jc w:val="right"/>
              <w:rPr>
                <w:color w:val="595A5B" w:themeColor="accent5"/>
                <w:lang w:eastAsia="en-AU"/>
              </w:rPr>
            </w:pPr>
            <w:r w:rsidRPr="001F1F3C">
              <w:rPr>
                <w:color w:val="595A5B" w:themeColor="accent5"/>
                <w:lang w:eastAsia="en-AU"/>
              </w:rPr>
              <w:t>PJ</w:t>
            </w:r>
          </w:p>
        </w:tc>
        <w:tc>
          <w:tcPr>
            <w:tcW w:w="715" w:type="pct"/>
            <w:gridSpan w:val="2"/>
            <w:tcBorders>
              <w:top w:val="nil"/>
            </w:tcBorders>
            <w:shd w:val="clear" w:color="auto" w:fill="CAE7F3"/>
            <w:noWrap/>
            <w:vAlign w:val="bottom"/>
            <w:hideMark/>
          </w:tcPr>
          <w:p w14:paraId="3BF8BB7F" w14:textId="77777777" w:rsidR="00790447" w:rsidRPr="001F1F3C" w:rsidRDefault="00790447" w:rsidP="00676F30">
            <w:pPr>
              <w:pStyle w:val="Tabletext"/>
              <w:jc w:val="right"/>
              <w:rPr>
                <w:color w:val="595A5B" w:themeColor="accent5"/>
                <w:lang w:eastAsia="en-AU"/>
              </w:rPr>
            </w:pPr>
            <w:r w:rsidRPr="001F1F3C">
              <w:rPr>
                <w:color w:val="595A5B" w:themeColor="accent5"/>
                <w:lang w:eastAsia="en-AU"/>
              </w:rPr>
              <w:t xml:space="preserve">share </w:t>
            </w:r>
            <w:r w:rsidRPr="001F1F3C">
              <w:rPr>
                <w:color w:val="595A5B" w:themeColor="accent5"/>
                <w:lang w:eastAsia="en-AU"/>
              </w:rPr>
              <w:br/>
              <w:t>(per cent)</w:t>
            </w:r>
          </w:p>
        </w:tc>
        <w:tc>
          <w:tcPr>
            <w:tcW w:w="498" w:type="pct"/>
            <w:gridSpan w:val="2"/>
            <w:tcBorders>
              <w:top w:val="nil"/>
            </w:tcBorders>
            <w:shd w:val="clear" w:color="auto" w:fill="CAE7F3"/>
            <w:noWrap/>
            <w:vAlign w:val="bottom"/>
            <w:hideMark/>
          </w:tcPr>
          <w:p w14:paraId="503DC510" w14:textId="77777777" w:rsidR="00790447" w:rsidRPr="001F1F3C" w:rsidRDefault="00790447" w:rsidP="00676F30">
            <w:pPr>
              <w:pStyle w:val="Tabletext"/>
              <w:jc w:val="right"/>
              <w:rPr>
                <w:color w:val="595A5B" w:themeColor="accent5"/>
                <w:lang w:eastAsia="en-AU"/>
              </w:rPr>
            </w:pPr>
          </w:p>
        </w:tc>
        <w:tc>
          <w:tcPr>
            <w:tcW w:w="821" w:type="pct"/>
            <w:tcBorders>
              <w:top w:val="nil"/>
            </w:tcBorders>
            <w:shd w:val="clear" w:color="auto" w:fill="CAE7F3"/>
            <w:noWrap/>
            <w:vAlign w:val="bottom"/>
            <w:hideMark/>
          </w:tcPr>
          <w:p w14:paraId="6CBDCD0D" w14:textId="77777777" w:rsidR="00790447" w:rsidRPr="001F1F3C" w:rsidRDefault="00790447" w:rsidP="00676F30">
            <w:pPr>
              <w:pStyle w:val="Tabletext"/>
              <w:jc w:val="right"/>
              <w:rPr>
                <w:color w:val="595A5B" w:themeColor="accent5"/>
                <w:lang w:eastAsia="en-AU"/>
              </w:rPr>
            </w:pPr>
            <w:r w:rsidRPr="001F1F3C">
              <w:rPr>
                <w:color w:val="595A5B" w:themeColor="accent5"/>
                <w:lang w:eastAsia="en-AU"/>
              </w:rPr>
              <w:t xml:space="preserve">2016–17 </w:t>
            </w:r>
            <w:r w:rsidRPr="001F1F3C">
              <w:rPr>
                <w:color w:val="595A5B" w:themeColor="accent5"/>
                <w:lang w:eastAsia="en-AU"/>
              </w:rPr>
              <w:br/>
              <w:t>(per cent)</w:t>
            </w:r>
          </w:p>
        </w:tc>
        <w:tc>
          <w:tcPr>
            <w:tcW w:w="820" w:type="pct"/>
            <w:tcBorders>
              <w:top w:val="nil"/>
            </w:tcBorders>
            <w:shd w:val="clear" w:color="auto" w:fill="CAE7F3"/>
            <w:noWrap/>
            <w:vAlign w:val="bottom"/>
            <w:hideMark/>
          </w:tcPr>
          <w:p w14:paraId="48706E8C" w14:textId="77777777" w:rsidR="00790447" w:rsidRPr="001F1F3C" w:rsidRDefault="00790447" w:rsidP="00676F30">
            <w:pPr>
              <w:pStyle w:val="Tabletext"/>
              <w:jc w:val="right"/>
              <w:rPr>
                <w:color w:val="595A5B" w:themeColor="accent5"/>
                <w:lang w:eastAsia="en-AU"/>
              </w:rPr>
            </w:pPr>
            <w:r w:rsidRPr="001F1F3C">
              <w:rPr>
                <w:color w:val="595A5B" w:themeColor="accent5"/>
                <w:lang w:eastAsia="en-AU"/>
              </w:rPr>
              <w:t xml:space="preserve">10 years </w:t>
            </w:r>
            <w:r w:rsidRPr="001F1F3C">
              <w:rPr>
                <w:color w:val="595A5B" w:themeColor="accent5"/>
                <w:lang w:eastAsia="en-AU"/>
              </w:rPr>
              <w:br/>
              <w:t>(per cent)</w:t>
            </w:r>
          </w:p>
        </w:tc>
      </w:tr>
      <w:tr w:rsidR="0082573A" w:rsidRPr="001F1F3C" w14:paraId="04F388D2" w14:textId="77777777" w:rsidTr="00617899">
        <w:trPr>
          <w:trHeight w:val="246"/>
        </w:trPr>
        <w:tc>
          <w:tcPr>
            <w:tcW w:w="1142" w:type="pct"/>
            <w:tcBorders>
              <w:top w:val="nil"/>
              <w:left w:val="nil"/>
              <w:bottom w:val="nil"/>
              <w:right w:val="nil"/>
            </w:tcBorders>
            <w:shd w:val="clear" w:color="000000" w:fill="CAE7F3"/>
            <w:noWrap/>
            <w:hideMark/>
          </w:tcPr>
          <w:p w14:paraId="70407CDE" w14:textId="10624FF3" w:rsidR="0082573A" w:rsidRPr="0082573A" w:rsidRDefault="0082573A" w:rsidP="0082573A">
            <w:pPr>
              <w:pStyle w:val="Tabletext"/>
              <w:rPr>
                <w:color w:val="595A5B" w:themeColor="accent5"/>
                <w:lang w:eastAsia="en-AU"/>
              </w:rPr>
            </w:pPr>
            <w:r w:rsidRPr="0082573A">
              <w:t>Black coal</w:t>
            </w:r>
          </w:p>
        </w:tc>
        <w:tc>
          <w:tcPr>
            <w:tcW w:w="1003" w:type="pct"/>
            <w:gridSpan w:val="2"/>
            <w:tcBorders>
              <w:top w:val="nil"/>
              <w:left w:val="nil"/>
              <w:bottom w:val="nil"/>
              <w:right w:val="nil"/>
            </w:tcBorders>
            <w:shd w:val="clear" w:color="000000" w:fill="CAE7F3"/>
            <w:noWrap/>
            <w:vAlign w:val="center"/>
          </w:tcPr>
          <w:p w14:paraId="75034A1B" w14:textId="29EC011D"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 10,685.8 </w:t>
            </w:r>
          </w:p>
        </w:tc>
        <w:tc>
          <w:tcPr>
            <w:tcW w:w="715" w:type="pct"/>
            <w:gridSpan w:val="2"/>
            <w:tcBorders>
              <w:top w:val="nil"/>
              <w:left w:val="nil"/>
              <w:bottom w:val="nil"/>
              <w:right w:val="nil"/>
            </w:tcBorders>
            <w:shd w:val="clear" w:color="000000" w:fill="CAE7F3"/>
            <w:noWrap/>
            <w:vAlign w:val="center"/>
          </w:tcPr>
          <w:p w14:paraId="1A3ED896" w14:textId="60B6CB3D"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 75.6</w:t>
            </w:r>
          </w:p>
        </w:tc>
        <w:tc>
          <w:tcPr>
            <w:tcW w:w="498" w:type="pct"/>
            <w:gridSpan w:val="2"/>
            <w:tcBorders>
              <w:top w:val="nil"/>
              <w:left w:val="nil"/>
              <w:bottom w:val="nil"/>
              <w:right w:val="nil"/>
            </w:tcBorders>
            <w:shd w:val="clear" w:color="000000" w:fill="CAE7F3"/>
            <w:noWrap/>
            <w:vAlign w:val="center"/>
          </w:tcPr>
          <w:p w14:paraId="78079FD2" w14:textId="5F9FD56D"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p>
        </w:tc>
        <w:tc>
          <w:tcPr>
            <w:tcW w:w="821" w:type="pct"/>
            <w:tcBorders>
              <w:top w:val="nil"/>
              <w:left w:val="nil"/>
              <w:bottom w:val="nil"/>
              <w:right w:val="nil"/>
            </w:tcBorders>
            <w:shd w:val="clear" w:color="000000" w:fill="CAE7F3"/>
            <w:noWrap/>
            <w:vAlign w:val="center"/>
          </w:tcPr>
          <w:p w14:paraId="578B375F" w14:textId="4973CA3B"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-2.9 </w:t>
            </w:r>
          </w:p>
        </w:tc>
        <w:tc>
          <w:tcPr>
            <w:tcW w:w="820" w:type="pct"/>
            <w:tcBorders>
              <w:top w:val="nil"/>
              <w:left w:val="nil"/>
              <w:bottom w:val="nil"/>
              <w:right w:val="nil"/>
            </w:tcBorders>
            <w:shd w:val="clear" w:color="000000" w:fill="CAE7F3"/>
            <w:noWrap/>
            <w:vAlign w:val="center"/>
          </w:tcPr>
          <w:p w14:paraId="12D80990" w14:textId="079ADDFF"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4.6 </w:t>
            </w:r>
          </w:p>
        </w:tc>
      </w:tr>
      <w:tr w:rsidR="0082573A" w:rsidRPr="001F1F3C" w14:paraId="1F1E430E" w14:textId="77777777" w:rsidTr="00617899">
        <w:trPr>
          <w:trHeight w:val="246"/>
        </w:trPr>
        <w:tc>
          <w:tcPr>
            <w:tcW w:w="1142" w:type="pct"/>
            <w:tcBorders>
              <w:top w:val="nil"/>
              <w:left w:val="nil"/>
              <w:bottom w:val="nil"/>
              <w:right w:val="nil"/>
            </w:tcBorders>
            <w:shd w:val="clear" w:color="000000" w:fill="CAE7F3"/>
            <w:noWrap/>
            <w:hideMark/>
          </w:tcPr>
          <w:p w14:paraId="0DD499EA" w14:textId="396C0F78" w:rsidR="0082573A" w:rsidRPr="0082573A" w:rsidRDefault="0082573A" w:rsidP="0082573A">
            <w:pPr>
              <w:pStyle w:val="Tabletext"/>
              <w:rPr>
                <w:b/>
                <w:color w:val="595A5B" w:themeColor="accent5"/>
                <w:lang w:eastAsia="en-AU"/>
              </w:rPr>
            </w:pPr>
            <w:r w:rsidRPr="0082573A">
              <w:t>Coal by-products</w:t>
            </w:r>
          </w:p>
        </w:tc>
        <w:tc>
          <w:tcPr>
            <w:tcW w:w="1003" w:type="pct"/>
            <w:gridSpan w:val="2"/>
            <w:tcBorders>
              <w:top w:val="nil"/>
              <w:left w:val="nil"/>
              <w:bottom w:val="nil"/>
              <w:right w:val="nil"/>
            </w:tcBorders>
            <w:shd w:val="clear" w:color="000000" w:fill="CAE7F3"/>
            <w:noWrap/>
            <w:vAlign w:val="center"/>
          </w:tcPr>
          <w:p w14:paraId="30214D46" w14:textId="179193B9"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 15.9 </w:t>
            </w:r>
          </w:p>
        </w:tc>
        <w:tc>
          <w:tcPr>
            <w:tcW w:w="715" w:type="pct"/>
            <w:gridSpan w:val="2"/>
            <w:tcBorders>
              <w:top w:val="nil"/>
              <w:left w:val="nil"/>
              <w:bottom w:val="nil"/>
              <w:right w:val="nil"/>
            </w:tcBorders>
            <w:shd w:val="clear" w:color="000000" w:fill="CAE7F3"/>
            <w:noWrap/>
            <w:vAlign w:val="center"/>
          </w:tcPr>
          <w:p w14:paraId="089E30CD" w14:textId="21587640"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 0.1</w:t>
            </w:r>
          </w:p>
        </w:tc>
        <w:tc>
          <w:tcPr>
            <w:tcW w:w="498" w:type="pct"/>
            <w:gridSpan w:val="2"/>
            <w:tcBorders>
              <w:top w:val="nil"/>
              <w:left w:val="nil"/>
              <w:bottom w:val="nil"/>
              <w:right w:val="nil"/>
            </w:tcBorders>
            <w:shd w:val="clear" w:color="000000" w:fill="CAE7F3"/>
            <w:noWrap/>
            <w:vAlign w:val="center"/>
          </w:tcPr>
          <w:p w14:paraId="37C2EF0E" w14:textId="59BD2E0B"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p>
        </w:tc>
        <w:tc>
          <w:tcPr>
            <w:tcW w:w="821" w:type="pct"/>
            <w:tcBorders>
              <w:top w:val="nil"/>
              <w:left w:val="nil"/>
              <w:bottom w:val="nil"/>
              <w:right w:val="nil"/>
            </w:tcBorders>
            <w:shd w:val="clear" w:color="000000" w:fill="CAE7F3"/>
            <w:noWrap/>
            <w:vAlign w:val="center"/>
          </w:tcPr>
          <w:p w14:paraId="4C59C9F8" w14:textId="0CB83727"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-22.2 </w:t>
            </w:r>
          </w:p>
        </w:tc>
        <w:tc>
          <w:tcPr>
            <w:tcW w:w="820" w:type="pct"/>
            <w:tcBorders>
              <w:top w:val="nil"/>
              <w:left w:val="nil"/>
              <w:bottom w:val="nil"/>
              <w:right w:val="nil"/>
            </w:tcBorders>
            <w:shd w:val="clear" w:color="000000" w:fill="CAE7F3"/>
            <w:noWrap/>
            <w:vAlign w:val="center"/>
          </w:tcPr>
          <w:p w14:paraId="2BA61FCA" w14:textId="3A011FC0"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na</w:t>
            </w:r>
          </w:p>
        </w:tc>
      </w:tr>
      <w:tr w:rsidR="0082573A" w:rsidRPr="001F1F3C" w14:paraId="7A0B3CF5" w14:textId="77777777" w:rsidTr="00617899">
        <w:trPr>
          <w:trHeight w:val="246"/>
        </w:trPr>
        <w:tc>
          <w:tcPr>
            <w:tcW w:w="1142" w:type="pct"/>
            <w:tcBorders>
              <w:top w:val="nil"/>
              <w:left w:val="nil"/>
              <w:bottom w:val="nil"/>
              <w:right w:val="nil"/>
            </w:tcBorders>
            <w:shd w:val="clear" w:color="000000" w:fill="CAE7F3"/>
            <w:noWrap/>
            <w:hideMark/>
          </w:tcPr>
          <w:p w14:paraId="66FF2C2D" w14:textId="23C66D61" w:rsidR="0082573A" w:rsidRPr="0082573A" w:rsidRDefault="0082573A" w:rsidP="0082573A">
            <w:pPr>
              <w:pStyle w:val="Tabletext"/>
              <w:rPr>
                <w:color w:val="595A5B" w:themeColor="accent5"/>
                <w:lang w:eastAsia="en-AU"/>
              </w:rPr>
            </w:pPr>
            <w:r w:rsidRPr="0082573A">
              <w:t>LNG</w:t>
            </w:r>
          </w:p>
        </w:tc>
        <w:tc>
          <w:tcPr>
            <w:tcW w:w="1003" w:type="pct"/>
            <w:gridSpan w:val="2"/>
            <w:tcBorders>
              <w:top w:val="nil"/>
              <w:left w:val="nil"/>
              <w:bottom w:val="nil"/>
              <w:right w:val="nil"/>
            </w:tcBorders>
            <w:shd w:val="clear" w:color="000000" w:fill="CAE7F3"/>
            <w:noWrap/>
            <w:vAlign w:val="center"/>
          </w:tcPr>
          <w:p w14:paraId="664EAE1C" w14:textId="68CC0D0B"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 2,864.5 </w:t>
            </w:r>
          </w:p>
        </w:tc>
        <w:tc>
          <w:tcPr>
            <w:tcW w:w="715" w:type="pct"/>
            <w:gridSpan w:val="2"/>
            <w:tcBorders>
              <w:top w:val="nil"/>
              <w:left w:val="nil"/>
              <w:bottom w:val="nil"/>
              <w:right w:val="nil"/>
            </w:tcBorders>
            <w:shd w:val="clear" w:color="000000" w:fill="CAE7F3"/>
            <w:noWrap/>
            <w:vAlign w:val="center"/>
          </w:tcPr>
          <w:p w14:paraId="737A5A5C" w14:textId="3C8F3C90"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 20.3</w:t>
            </w:r>
          </w:p>
        </w:tc>
        <w:tc>
          <w:tcPr>
            <w:tcW w:w="498" w:type="pct"/>
            <w:gridSpan w:val="2"/>
            <w:tcBorders>
              <w:top w:val="nil"/>
              <w:left w:val="nil"/>
              <w:bottom w:val="nil"/>
              <w:right w:val="nil"/>
            </w:tcBorders>
            <w:shd w:val="clear" w:color="000000" w:fill="CAE7F3"/>
            <w:noWrap/>
            <w:vAlign w:val="center"/>
          </w:tcPr>
          <w:p w14:paraId="37E974BB" w14:textId="5E1331C2"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p>
        </w:tc>
        <w:tc>
          <w:tcPr>
            <w:tcW w:w="821" w:type="pct"/>
            <w:tcBorders>
              <w:top w:val="nil"/>
              <w:left w:val="nil"/>
              <w:bottom w:val="nil"/>
              <w:right w:val="nil"/>
            </w:tcBorders>
            <w:shd w:val="clear" w:color="000000" w:fill="CAE7F3"/>
            <w:noWrap/>
            <w:vAlign w:val="center"/>
          </w:tcPr>
          <w:p w14:paraId="123006C6" w14:textId="4C26ACBD"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41.4 </w:t>
            </w:r>
          </w:p>
        </w:tc>
        <w:tc>
          <w:tcPr>
            <w:tcW w:w="820" w:type="pct"/>
            <w:tcBorders>
              <w:top w:val="nil"/>
              <w:left w:val="nil"/>
              <w:bottom w:val="nil"/>
              <w:right w:val="nil"/>
            </w:tcBorders>
            <w:shd w:val="clear" w:color="000000" w:fill="CAE7F3"/>
            <w:noWrap/>
            <w:vAlign w:val="center"/>
          </w:tcPr>
          <w:p w14:paraId="57808F6D" w14:textId="446E4036"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16.2 </w:t>
            </w:r>
          </w:p>
        </w:tc>
      </w:tr>
      <w:tr w:rsidR="0082573A" w:rsidRPr="001F1F3C" w14:paraId="4027AF72" w14:textId="77777777" w:rsidTr="00617899">
        <w:trPr>
          <w:trHeight w:val="246"/>
        </w:trPr>
        <w:tc>
          <w:tcPr>
            <w:tcW w:w="1142" w:type="pct"/>
            <w:tcBorders>
              <w:top w:val="nil"/>
              <w:left w:val="nil"/>
              <w:bottom w:val="nil"/>
              <w:right w:val="nil"/>
            </w:tcBorders>
            <w:shd w:val="clear" w:color="000000" w:fill="CAE7F3"/>
            <w:noWrap/>
            <w:hideMark/>
          </w:tcPr>
          <w:p w14:paraId="1C2E8695" w14:textId="6C226BC1" w:rsidR="0082573A" w:rsidRPr="0082573A" w:rsidRDefault="0082573A" w:rsidP="0082573A">
            <w:pPr>
              <w:pStyle w:val="Tabletext"/>
              <w:rPr>
                <w:color w:val="595A5B" w:themeColor="accent5"/>
                <w:lang w:eastAsia="en-AU"/>
              </w:rPr>
            </w:pPr>
            <w:r w:rsidRPr="0082573A">
              <w:t>Crude oil</w:t>
            </w:r>
          </w:p>
        </w:tc>
        <w:tc>
          <w:tcPr>
            <w:tcW w:w="1003" w:type="pct"/>
            <w:gridSpan w:val="2"/>
            <w:tcBorders>
              <w:top w:val="nil"/>
              <w:left w:val="nil"/>
              <w:bottom w:val="nil"/>
              <w:right w:val="nil"/>
            </w:tcBorders>
            <w:shd w:val="clear" w:color="000000" w:fill="CAE7F3"/>
            <w:noWrap/>
            <w:vAlign w:val="center"/>
          </w:tcPr>
          <w:p w14:paraId="3FEDB41B" w14:textId="578EB21A"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 473.7 </w:t>
            </w:r>
          </w:p>
        </w:tc>
        <w:tc>
          <w:tcPr>
            <w:tcW w:w="715" w:type="pct"/>
            <w:gridSpan w:val="2"/>
            <w:tcBorders>
              <w:top w:val="nil"/>
              <w:left w:val="nil"/>
              <w:bottom w:val="nil"/>
              <w:right w:val="nil"/>
            </w:tcBorders>
            <w:shd w:val="clear" w:color="000000" w:fill="CAE7F3"/>
            <w:noWrap/>
            <w:vAlign w:val="center"/>
          </w:tcPr>
          <w:p w14:paraId="1D234F92" w14:textId="5595C930"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 3.4</w:t>
            </w:r>
          </w:p>
        </w:tc>
        <w:tc>
          <w:tcPr>
            <w:tcW w:w="498" w:type="pct"/>
            <w:gridSpan w:val="2"/>
            <w:tcBorders>
              <w:top w:val="nil"/>
              <w:left w:val="nil"/>
              <w:bottom w:val="nil"/>
              <w:right w:val="nil"/>
            </w:tcBorders>
            <w:shd w:val="clear" w:color="000000" w:fill="CAE7F3"/>
            <w:noWrap/>
            <w:vAlign w:val="center"/>
          </w:tcPr>
          <w:p w14:paraId="6EB04CC2" w14:textId="6E5412D2"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p>
        </w:tc>
        <w:tc>
          <w:tcPr>
            <w:tcW w:w="821" w:type="pct"/>
            <w:tcBorders>
              <w:top w:val="nil"/>
              <w:left w:val="nil"/>
              <w:bottom w:val="nil"/>
              <w:right w:val="nil"/>
            </w:tcBorders>
            <w:shd w:val="clear" w:color="000000" w:fill="CAE7F3"/>
            <w:noWrap/>
            <w:vAlign w:val="center"/>
          </w:tcPr>
          <w:p w14:paraId="7C7D9B92" w14:textId="332CCFE7"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-7.8 </w:t>
            </w:r>
          </w:p>
        </w:tc>
        <w:tc>
          <w:tcPr>
            <w:tcW w:w="820" w:type="pct"/>
            <w:tcBorders>
              <w:top w:val="nil"/>
              <w:left w:val="nil"/>
              <w:bottom w:val="nil"/>
              <w:right w:val="nil"/>
            </w:tcBorders>
            <w:shd w:val="clear" w:color="000000" w:fill="CAE7F3"/>
            <w:noWrap/>
            <w:vAlign w:val="center"/>
          </w:tcPr>
          <w:p w14:paraId="79C61BDC" w14:textId="3B3EC436"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-2.4 </w:t>
            </w:r>
          </w:p>
        </w:tc>
      </w:tr>
      <w:tr w:rsidR="0082573A" w:rsidRPr="001F1F3C" w14:paraId="6761AF7C" w14:textId="77777777" w:rsidTr="00617899">
        <w:trPr>
          <w:trHeight w:val="235"/>
        </w:trPr>
        <w:tc>
          <w:tcPr>
            <w:tcW w:w="1142" w:type="pct"/>
            <w:tcBorders>
              <w:top w:val="nil"/>
              <w:left w:val="nil"/>
              <w:bottom w:val="nil"/>
              <w:right w:val="nil"/>
            </w:tcBorders>
            <w:shd w:val="clear" w:color="000000" w:fill="CAE7F3"/>
            <w:noWrap/>
            <w:hideMark/>
          </w:tcPr>
          <w:p w14:paraId="4D82913D" w14:textId="20E6D46F" w:rsidR="0082573A" w:rsidRPr="0082573A" w:rsidRDefault="0082573A" w:rsidP="0082573A">
            <w:pPr>
              <w:pStyle w:val="Tabletext"/>
              <w:rPr>
                <w:color w:val="595A5B" w:themeColor="accent5"/>
                <w:lang w:eastAsia="en-AU"/>
              </w:rPr>
            </w:pPr>
            <w:r w:rsidRPr="0082573A">
              <w:t>LPG</w:t>
            </w:r>
          </w:p>
        </w:tc>
        <w:tc>
          <w:tcPr>
            <w:tcW w:w="1003" w:type="pct"/>
            <w:gridSpan w:val="2"/>
            <w:tcBorders>
              <w:top w:val="nil"/>
              <w:left w:val="nil"/>
              <w:bottom w:val="nil"/>
              <w:right w:val="nil"/>
            </w:tcBorders>
            <w:shd w:val="clear" w:color="000000" w:fill="CAE7F3"/>
            <w:noWrap/>
            <w:vAlign w:val="center"/>
          </w:tcPr>
          <w:p w14:paraId="250AAF6C" w14:textId="3CAD4E13"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 60.3 </w:t>
            </w:r>
          </w:p>
        </w:tc>
        <w:tc>
          <w:tcPr>
            <w:tcW w:w="715" w:type="pct"/>
            <w:gridSpan w:val="2"/>
            <w:tcBorders>
              <w:top w:val="nil"/>
              <w:left w:val="nil"/>
              <w:bottom w:val="nil"/>
              <w:right w:val="nil"/>
            </w:tcBorders>
            <w:shd w:val="clear" w:color="000000" w:fill="CAE7F3"/>
            <w:noWrap/>
            <w:vAlign w:val="center"/>
          </w:tcPr>
          <w:p w14:paraId="25F8890B" w14:textId="0BD77F5F"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 0.4</w:t>
            </w:r>
          </w:p>
        </w:tc>
        <w:tc>
          <w:tcPr>
            <w:tcW w:w="498" w:type="pct"/>
            <w:gridSpan w:val="2"/>
            <w:tcBorders>
              <w:top w:val="nil"/>
              <w:left w:val="nil"/>
              <w:bottom w:val="nil"/>
              <w:right w:val="nil"/>
            </w:tcBorders>
            <w:shd w:val="clear" w:color="000000" w:fill="CAE7F3"/>
            <w:noWrap/>
            <w:vAlign w:val="center"/>
          </w:tcPr>
          <w:p w14:paraId="4AAE376C" w14:textId="653E26C4"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p>
        </w:tc>
        <w:tc>
          <w:tcPr>
            <w:tcW w:w="821" w:type="pct"/>
            <w:tcBorders>
              <w:top w:val="nil"/>
              <w:left w:val="nil"/>
              <w:bottom w:val="nil"/>
              <w:right w:val="nil"/>
            </w:tcBorders>
            <w:shd w:val="clear" w:color="000000" w:fill="CAE7F3"/>
            <w:noWrap/>
            <w:vAlign w:val="center"/>
          </w:tcPr>
          <w:p w14:paraId="18910E91" w14:textId="7BF671A6"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12.2 </w:t>
            </w:r>
          </w:p>
        </w:tc>
        <w:tc>
          <w:tcPr>
            <w:tcW w:w="820" w:type="pct"/>
            <w:tcBorders>
              <w:top w:val="nil"/>
              <w:left w:val="nil"/>
              <w:bottom w:val="nil"/>
              <w:right w:val="nil"/>
            </w:tcBorders>
            <w:shd w:val="clear" w:color="000000" w:fill="CAE7F3"/>
            <w:noWrap/>
            <w:vAlign w:val="center"/>
          </w:tcPr>
          <w:p w14:paraId="0FE88C79" w14:textId="2DA3B3AA"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-1.6 </w:t>
            </w:r>
          </w:p>
        </w:tc>
      </w:tr>
      <w:tr w:rsidR="0082573A" w:rsidRPr="001F1F3C" w14:paraId="603BCCA8" w14:textId="77777777" w:rsidTr="00617899">
        <w:trPr>
          <w:trHeight w:val="246"/>
        </w:trPr>
        <w:tc>
          <w:tcPr>
            <w:tcW w:w="1142" w:type="pct"/>
            <w:tcBorders>
              <w:top w:val="nil"/>
              <w:left w:val="nil"/>
              <w:bottom w:val="nil"/>
              <w:right w:val="nil"/>
            </w:tcBorders>
            <w:shd w:val="clear" w:color="000000" w:fill="CAE7F3"/>
            <w:noWrap/>
            <w:hideMark/>
          </w:tcPr>
          <w:p w14:paraId="2996045C" w14:textId="65279BBA" w:rsidR="0082573A" w:rsidRPr="0082573A" w:rsidRDefault="0082573A" w:rsidP="0082573A">
            <w:pPr>
              <w:pStyle w:val="Tabletext"/>
              <w:rPr>
                <w:color w:val="595A5B" w:themeColor="accent5"/>
                <w:lang w:eastAsia="en-AU"/>
              </w:rPr>
            </w:pPr>
            <w:r w:rsidRPr="0082573A">
              <w:t>Refined products</w:t>
            </w:r>
          </w:p>
        </w:tc>
        <w:tc>
          <w:tcPr>
            <w:tcW w:w="1003" w:type="pct"/>
            <w:gridSpan w:val="2"/>
            <w:tcBorders>
              <w:top w:val="nil"/>
              <w:left w:val="nil"/>
              <w:bottom w:val="nil"/>
              <w:right w:val="nil"/>
            </w:tcBorders>
            <w:shd w:val="clear" w:color="000000" w:fill="CAE7F3"/>
            <w:noWrap/>
            <w:vAlign w:val="center"/>
          </w:tcPr>
          <w:p w14:paraId="7B320EDE" w14:textId="56DF0809"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 39.9 </w:t>
            </w:r>
          </w:p>
        </w:tc>
        <w:tc>
          <w:tcPr>
            <w:tcW w:w="715" w:type="pct"/>
            <w:gridSpan w:val="2"/>
            <w:tcBorders>
              <w:top w:val="nil"/>
              <w:left w:val="nil"/>
              <w:bottom w:val="nil"/>
              <w:right w:val="nil"/>
            </w:tcBorders>
            <w:shd w:val="clear" w:color="000000" w:fill="CAE7F3"/>
            <w:noWrap/>
            <w:vAlign w:val="center"/>
          </w:tcPr>
          <w:p w14:paraId="4A71457F" w14:textId="6097556E"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 0.3</w:t>
            </w:r>
          </w:p>
        </w:tc>
        <w:tc>
          <w:tcPr>
            <w:tcW w:w="498" w:type="pct"/>
            <w:gridSpan w:val="2"/>
            <w:tcBorders>
              <w:top w:val="nil"/>
              <w:left w:val="nil"/>
              <w:bottom w:val="nil"/>
              <w:right w:val="nil"/>
            </w:tcBorders>
            <w:shd w:val="clear" w:color="000000" w:fill="CAE7F3"/>
            <w:noWrap/>
            <w:vAlign w:val="center"/>
          </w:tcPr>
          <w:p w14:paraId="7683F3DF" w14:textId="28B53C0C"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p>
        </w:tc>
        <w:tc>
          <w:tcPr>
            <w:tcW w:w="821" w:type="pct"/>
            <w:tcBorders>
              <w:top w:val="nil"/>
              <w:left w:val="nil"/>
              <w:bottom w:val="nil"/>
              <w:right w:val="nil"/>
            </w:tcBorders>
            <w:shd w:val="clear" w:color="000000" w:fill="CAE7F3"/>
            <w:noWrap/>
            <w:vAlign w:val="center"/>
          </w:tcPr>
          <w:p w14:paraId="3F2FB0F1" w14:textId="20C5E12E"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71.1 </w:t>
            </w:r>
          </w:p>
        </w:tc>
        <w:tc>
          <w:tcPr>
            <w:tcW w:w="820" w:type="pct"/>
            <w:tcBorders>
              <w:top w:val="nil"/>
              <w:left w:val="nil"/>
              <w:bottom w:val="nil"/>
              <w:right w:val="nil"/>
            </w:tcBorders>
            <w:shd w:val="clear" w:color="000000" w:fill="CAE7F3"/>
            <w:noWrap/>
            <w:vAlign w:val="center"/>
          </w:tcPr>
          <w:p w14:paraId="23A3DC01" w14:textId="0D6D6AE5" w:rsidR="0082573A" w:rsidRPr="0082573A" w:rsidRDefault="0082573A" w:rsidP="0082573A">
            <w:pPr>
              <w:spacing w:after="0" w:line="240" w:lineRule="auto"/>
              <w:ind w:left="0"/>
              <w:jc w:val="right"/>
              <w:rPr>
                <w:rFonts w:eastAsia="Times New Roman" w:cs="Arial"/>
                <w:color w:val="595A5B" w:themeColor="accent5"/>
                <w:sz w:val="18"/>
                <w:szCs w:val="18"/>
                <w:lang w:eastAsia="en-AU"/>
              </w:rPr>
            </w:pPr>
            <w:r w:rsidRPr="0082573A">
              <w:rPr>
                <w:sz w:val="18"/>
                <w:szCs w:val="18"/>
              </w:rPr>
              <w:t xml:space="preserve">-5.5 </w:t>
            </w:r>
          </w:p>
        </w:tc>
      </w:tr>
      <w:tr w:rsidR="0082573A" w:rsidRPr="001F1F3C" w14:paraId="39F7390C" w14:textId="77777777" w:rsidTr="00617899">
        <w:trPr>
          <w:trHeight w:val="59"/>
        </w:trPr>
        <w:tc>
          <w:tcPr>
            <w:tcW w:w="1142" w:type="pct"/>
            <w:tcBorders>
              <w:top w:val="nil"/>
              <w:left w:val="nil"/>
              <w:bottom w:val="nil"/>
              <w:right w:val="nil"/>
            </w:tcBorders>
            <w:shd w:val="clear" w:color="000000" w:fill="CAE7F3"/>
            <w:noWrap/>
            <w:hideMark/>
          </w:tcPr>
          <w:p w14:paraId="71272F02" w14:textId="5E397D13" w:rsidR="0082573A" w:rsidRPr="0082573A" w:rsidRDefault="0082573A" w:rsidP="0082573A">
            <w:pPr>
              <w:pStyle w:val="Tabletext"/>
              <w:rPr>
                <w:b/>
                <w:bCs/>
                <w:color w:val="595A5B" w:themeColor="accent5"/>
                <w:lang w:eastAsia="en-AU"/>
              </w:rPr>
            </w:pPr>
            <w:r w:rsidRPr="0082573A">
              <w:rPr>
                <w:b/>
              </w:rPr>
              <w:t>Total</w:t>
            </w:r>
          </w:p>
        </w:tc>
        <w:tc>
          <w:tcPr>
            <w:tcW w:w="1003" w:type="pct"/>
            <w:gridSpan w:val="2"/>
            <w:tcBorders>
              <w:top w:val="nil"/>
              <w:left w:val="nil"/>
              <w:bottom w:val="nil"/>
              <w:right w:val="nil"/>
            </w:tcBorders>
            <w:shd w:val="clear" w:color="000000" w:fill="CAE7F3"/>
            <w:noWrap/>
            <w:vAlign w:val="center"/>
          </w:tcPr>
          <w:p w14:paraId="074341BD" w14:textId="77EB0932" w:rsidR="0082573A" w:rsidRPr="0082573A" w:rsidRDefault="0082573A" w:rsidP="0082573A">
            <w:pPr>
              <w:spacing w:after="0" w:line="240" w:lineRule="auto"/>
              <w:ind w:left="0"/>
              <w:jc w:val="right"/>
              <w:rPr>
                <w:rFonts w:eastAsia="Times New Roman" w:cs="Arial"/>
                <w:b/>
                <w:bCs/>
                <w:color w:val="595A5B" w:themeColor="accent5"/>
                <w:sz w:val="18"/>
                <w:szCs w:val="18"/>
                <w:lang w:eastAsia="en-AU"/>
              </w:rPr>
            </w:pPr>
            <w:r w:rsidRPr="0082573A">
              <w:rPr>
                <w:b/>
                <w:sz w:val="18"/>
                <w:szCs w:val="18"/>
              </w:rPr>
              <w:t xml:space="preserve"> 14,140.1 </w:t>
            </w:r>
          </w:p>
        </w:tc>
        <w:tc>
          <w:tcPr>
            <w:tcW w:w="715" w:type="pct"/>
            <w:gridSpan w:val="2"/>
            <w:tcBorders>
              <w:top w:val="nil"/>
              <w:left w:val="nil"/>
              <w:bottom w:val="nil"/>
              <w:right w:val="nil"/>
            </w:tcBorders>
            <w:shd w:val="clear" w:color="000000" w:fill="CAE7F3"/>
            <w:noWrap/>
            <w:vAlign w:val="center"/>
          </w:tcPr>
          <w:p w14:paraId="3A3D9340" w14:textId="5EBDB259" w:rsidR="0082573A" w:rsidRPr="0082573A" w:rsidRDefault="0082573A" w:rsidP="0082573A">
            <w:pPr>
              <w:spacing w:after="0" w:line="240" w:lineRule="auto"/>
              <w:ind w:left="0"/>
              <w:jc w:val="right"/>
              <w:rPr>
                <w:rFonts w:eastAsia="Times New Roman" w:cs="Arial"/>
                <w:b/>
                <w:bCs/>
                <w:color w:val="595A5B" w:themeColor="accent5"/>
                <w:sz w:val="18"/>
                <w:szCs w:val="18"/>
                <w:lang w:eastAsia="en-AU"/>
              </w:rPr>
            </w:pPr>
            <w:r w:rsidRPr="0082573A">
              <w:rPr>
                <w:b/>
                <w:sz w:val="18"/>
                <w:szCs w:val="18"/>
              </w:rPr>
              <w:t xml:space="preserve"> 100.0</w:t>
            </w:r>
          </w:p>
        </w:tc>
        <w:tc>
          <w:tcPr>
            <w:tcW w:w="498" w:type="pct"/>
            <w:gridSpan w:val="2"/>
            <w:tcBorders>
              <w:top w:val="nil"/>
              <w:left w:val="nil"/>
              <w:bottom w:val="nil"/>
              <w:right w:val="nil"/>
            </w:tcBorders>
            <w:shd w:val="clear" w:color="000000" w:fill="CAE7F3"/>
            <w:noWrap/>
            <w:vAlign w:val="center"/>
          </w:tcPr>
          <w:p w14:paraId="6746E2CD" w14:textId="2E6FE231" w:rsidR="0082573A" w:rsidRPr="0082573A" w:rsidRDefault="0082573A" w:rsidP="0082573A">
            <w:pPr>
              <w:spacing w:after="0" w:line="240" w:lineRule="auto"/>
              <w:ind w:left="0"/>
              <w:jc w:val="right"/>
              <w:rPr>
                <w:rFonts w:eastAsia="Times New Roman" w:cs="Arial"/>
                <w:b/>
                <w:bCs/>
                <w:color w:val="595A5B" w:themeColor="accent5"/>
                <w:sz w:val="18"/>
                <w:szCs w:val="18"/>
                <w:lang w:eastAsia="en-AU"/>
              </w:rPr>
            </w:pPr>
          </w:p>
        </w:tc>
        <w:tc>
          <w:tcPr>
            <w:tcW w:w="821" w:type="pct"/>
            <w:tcBorders>
              <w:top w:val="nil"/>
              <w:left w:val="nil"/>
              <w:bottom w:val="nil"/>
              <w:right w:val="nil"/>
            </w:tcBorders>
            <w:shd w:val="clear" w:color="000000" w:fill="CAE7F3"/>
            <w:noWrap/>
            <w:vAlign w:val="center"/>
          </w:tcPr>
          <w:p w14:paraId="2577C989" w14:textId="19FB97B9" w:rsidR="0082573A" w:rsidRPr="0082573A" w:rsidRDefault="0082573A" w:rsidP="0082573A">
            <w:pPr>
              <w:spacing w:after="0" w:line="240" w:lineRule="auto"/>
              <w:ind w:left="0"/>
              <w:jc w:val="right"/>
              <w:rPr>
                <w:rFonts w:eastAsia="Times New Roman" w:cs="Arial"/>
                <w:b/>
                <w:bCs/>
                <w:color w:val="595A5B" w:themeColor="accent5"/>
                <w:sz w:val="18"/>
                <w:szCs w:val="18"/>
                <w:lang w:eastAsia="en-AU"/>
              </w:rPr>
            </w:pPr>
            <w:r w:rsidRPr="0082573A">
              <w:rPr>
                <w:b/>
                <w:sz w:val="18"/>
                <w:szCs w:val="18"/>
              </w:rPr>
              <w:t xml:space="preserve">3.7 </w:t>
            </w:r>
          </w:p>
        </w:tc>
        <w:tc>
          <w:tcPr>
            <w:tcW w:w="820" w:type="pct"/>
            <w:tcBorders>
              <w:top w:val="nil"/>
              <w:left w:val="nil"/>
              <w:bottom w:val="nil"/>
              <w:right w:val="nil"/>
            </w:tcBorders>
            <w:shd w:val="clear" w:color="000000" w:fill="CAE7F3"/>
            <w:noWrap/>
            <w:vAlign w:val="center"/>
          </w:tcPr>
          <w:p w14:paraId="7F7B584B" w14:textId="4B27251A" w:rsidR="0082573A" w:rsidRPr="0082573A" w:rsidRDefault="0082573A" w:rsidP="0082573A">
            <w:pPr>
              <w:spacing w:after="0" w:line="240" w:lineRule="auto"/>
              <w:ind w:left="0"/>
              <w:jc w:val="right"/>
              <w:rPr>
                <w:rFonts w:eastAsia="Times New Roman" w:cs="Arial"/>
                <w:b/>
                <w:bCs/>
                <w:color w:val="595A5B" w:themeColor="accent5"/>
                <w:sz w:val="18"/>
                <w:szCs w:val="18"/>
                <w:lang w:eastAsia="en-AU"/>
              </w:rPr>
            </w:pPr>
            <w:r w:rsidRPr="0082573A">
              <w:rPr>
                <w:b/>
                <w:sz w:val="18"/>
                <w:szCs w:val="18"/>
              </w:rPr>
              <w:t xml:space="preserve">5.6 </w:t>
            </w:r>
          </w:p>
        </w:tc>
      </w:tr>
    </w:tbl>
    <w:p w14:paraId="5329F8A3" w14:textId="7CAFA56C" w:rsidR="001F4600" w:rsidRPr="001F1F3C" w:rsidRDefault="001F4600" w:rsidP="001F4600">
      <w:pPr>
        <w:pStyle w:val="Source"/>
        <w:rPr>
          <w:color w:val="595A5B" w:themeColor="text2"/>
        </w:rPr>
      </w:pPr>
      <w:r w:rsidRPr="001F1F3C">
        <w:rPr>
          <w:color w:val="595A5B" w:themeColor="text2"/>
        </w:rPr>
        <w:t xml:space="preserve">Source: </w:t>
      </w:r>
      <w:r w:rsidRPr="001F1F3C">
        <w:rPr>
          <w:color w:val="595A5B" w:themeColor="text2"/>
          <w:szCs w:val="16"/>
        </w:rPr>
        <w:t xml:space="preserve">Department of </w:t>
      </w:r>
      <w:r w:rsidR="005A4AAD" w:rsidRPr="001F1F3C">
        <w:rPr>
          <w:color w:val="595A5B" w:themeColor="text2"/>
          <w:szCs w:val="16"/>
        </w:rPr>
        <w:t>the Environment and Energy</w:t>
      </w:r>
      <w:r w:rsidRPr="001F1F3C">
        <w:rPr>
          <w:color w:val="595A5B" w:themeColor="text2"/>
          <w:szCs w:val="16"/>
        </w:rPr>
        <w:t xml:space="preserve"> (</w:t>
      </w:r>
      <w:r w:rsidR="003F2CCE" w:rsidRPr="001F1F3C">
        <w:rPr>
          <w:color w:val="595A5B" w:themeColor="text2"/>
          <w:szCs w:val="16"/>
        </w:rPr>
        <w:t>2018</w:t>
      </w:r>
      <w:r w:rsidRPr="001F1F3C">
        <w:rPr>
          <w:color w:val="595A5B" w:themeColor="text2"/>
          <w:szCs w:val="16"/>
        </w:rPr>
        <w:t xml:space="preserve">) </w:t>
      </w:r>
      <w:r w:rsidRPr="001F1F3C">
        <w:rPr>
          <w:i/>
          <w:color w:val="595A5B" w:themeColor="text2"/>
          <w:szCs w:val="16"/>
        </w:rPr>
        <w:t>Australian Energy Statistics</w:t>
      </w:r>
      <w:r w:rsidRPr="001F1F3C">
        <w:rPr>
          <w:color w:val="595A5B" w:themeColor="text2"/>
          <w:szCs w:val="16"/>
        </w:rPr>
        <w:t xml:space="preserve">, </w:t>
      </w:r>
      <w:r w:rsidRPr="001F1F3C">
        <w:rPr>
          <w:color w:val="595A5B" w:themeColor="text2"/>
          <w:szCs w:val="16"/>
        </w:rPr>
        <w:br/>
        <w:t>Table J</w:t>
      </w:r>
    </w:p>
    <w:p w14:paraId="0C347948" w14:textId="360F3CC5" w:rsidR="001F4600" w:rsidRPr="001F1F3C" w:rsidRDefault="00C1400E" w:rsidP="00082FE6">
      <w:pPr>
        <w:pStyle w:val="Caption"/>
        <w:ind w:left="-1985"/>
      </w:pPr>
      <w:bookmarkStart w:id="166" w:name="_Toc522198895"/>
      <w:bookmarkStart w:id="167" w:name="_Toc522199915"/>
      <w:bookmarkStart w:id="168" w:name="_Toc523777431"/>
      <w:r>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4</w:t>
      </w:r>
      <w:r w:rsidR="00941B67">
        <w:rPr>
          <w:noProof/>
        </w:rPr>
        <w:fldChar w:fldCharType="end"/>
      </w:r>
      <w:r w:rsidR="003348D2">
        <w:t>.</w:t>
      </w:r>
      <w:r w:rsidR="00941B67">
        <w:rPr>
          <w:noProof/>
        </w:rPr>
        <w:fldChar w:fldCharType="begin"/>
      </w:r>
      <w:r w:rsidR="00941B67">
        <w:rPr>
          <w:noProof/>
        </w:rPr>
        <w:instrText xml:space="preserve"> SEQ Figure \* ARABIC \s 1 </w:instrText>
      </w:r>
      <w:r w:rsidR="00941B67">
        <w:rPr>
          <w:noProof/>
        </w:rPr>
        <w:fldChar w:fldCharType="separate"/>
      </w:r>
      <w:r w:rsidR="00D72ABB">
        <w:rPr>
          <w:noProof/>
        </w:rPr>
        <w:t>1</w:t>
      </w:r>
      <w:r w:rsidR="00941B67">
        <w:rPr>
          <w:noProof/>
        </w:rPr>
        <w:fldChar w:fldCharType="end"/>
      </w:r>
      <w:r>
        <w:t xml:space="preserve">: </w:t>
      </w:r>
      <w:r w:rsidR="001F4600" w:rsidRPr="001F1F3C">
        <w:t>Australian energy exports, by fuel type</w:t>
      </w:r>
      <w:bookmarkEnd w:id="166"/>
      <w:bookmarkEnd w:id="167"/>
      <w:bookmarkEnd w:id="168"/>
    </w:p>
    <w:tbl>
      <w:tblPr>
        <w:tblStyle w:val="OCETable"/>
        <w:tblW w:w="6379" w:type="pct"/>
        <w:tblInd w:w="-1877" w:type="dxa"/>
        <w:tblLayout w:type="fixed"/>
        <w:tblLook w:val="04A0" w:firstRow="1" w:lastRow="0" w:firstColumn="1" w:lastColumn="0" w:noHBand="0" w:noVBand="1"/>
        <w:tblCaption w:val="Placeholder obejct only"/>
      </w:tblPr>
      <w:tblGrid>
        <w:gridCol w:w="8795"/>
      </w:tblGrid>
      <w:tr w:rsidR="00395E48" w:rsidRPr="001F1F3C" w14:paraId="71FAFE46" w14:textId="77777777" w:rsidTr="00DE6AFF">
        <w:trPr>
          <w:cnfStyle w:val="100000000000" w:firstRow="1" w:lastRow="0" w:firstColumn="0" w:lastColumn="0" w:oddVBand="0" w:evenVBand="0" w:oddHBand="0" w:evenHBand="0" w:firstRowFirstColumn="0" w:firstRowLastColumn="0" w:lastRowFirstColumn="0" w:lastRowLastColumn="0"/>
          <w:trHeight w:val="193"/>
          <w:tblHeader/>
        </w:trPr>
        <w:tc>
          <w:tcPr>
            <w:tcW w:w="8795" w:type="dxa"/>
            <w:shd w:val="clear" w:color="auto" w:fill="auto"/>
          </w:tcPr>
          <w:p w14:paraId="0055ADD9" w14:textId="5FBCEE96" w:rsidR="00395E48" w:rsidRPr="001F1F3C" w:rsidRDefault="00782036" w:rsidP="00617899">
            <w:pPr>
              <w:pStyle w:val="PlaceholderWide"/>
              <w:ind w:left="-1985"/>
              <w:jc w:val="right"/>
              <w:rPr>
                <w:noProof/>
                <w:lang w:eastAsia="en-AU"/>
              </w:rPr>
            </w:pPr>
            <w:r>
              <w:rPr>
                <w:noProof/>
                <w:lang w:eastAsia="en-AU"/>
              </w:rPr>
              <w:drawing>
                <wp:inline distT="0" distB="0" distL="0" distR="0" wp14:anchorId="143E0D8A" wp14:editId="2E237306">
                  <wp:extent cx="5401310" cy="3243580"/>
                  <wp:effectExtent l="0" t="0" r="8890" b="0"/>
                  <wp:docPr id="1567783" name="Picture 1567783" descr="This figure shows Australian energy exports by fuel type from 1976-77 to 2016-17 in petajoules&#10;" title="Figure 4.1:Australian energy exports, by fuel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1310" cy="3243580"/>
                          </a:xfrm>
                          <a:prstGeom prst="rect">
                            <a:avLst/>
                          </a:prstGeom>
                          <a:noFill/>
                        </pic:spPr>
                      </pic:pic>
                    </a:graphicData>
                  </a:graphic>
                </wp:inline>
              </w:drawing>
            </w:r>
          </w:p>
        </w:tc>
      </w:tr>
    </w:tbl>
    <w:p w14:paraId="44F9B639" w14:textId="73A567D2" w:rsidR="001F4600" w:rsidRPr="001F1F3C" w:rsidRDefault="001F4600" w:rsidP="001F4600">
      <w:pPr>
        <w:pStyle w:val="SourceWide"/>
        <w:rPr>
          <w:color w:val="595A5B" w:themeColor="text2"/>
        </w:rPr>
      </w:pPr>
      <w:r w:rsidRPr="001F1F3C">
        <w:rPr>
          <w:color w:val="595A5B" w:themeColor="text2"/>
        </w:rPr>
        <w:t xml:space="preserve">Source: </w:t>
      </w:r>
      <w:r w:rsidRPr="001F1F3C">
        <w:rPr>
          <w:color w:val="595A5B" w:themeColor="text2"/>
          <w:szCs w:val="16"/>
        </w:rPr>
        <w:t xml:space="preserve">Department of </w:t>
      </w:r>
      <w:r w:rsidR="005A4AAD" w:rsidRPr="001F1F3C">
        <w:rPr>
          <w:color w:val="595A5B" w:themeColor="text2"/>
          <w:szCs w:val="16"/>
        </w:rPr>
        <w:t>the Environment and Energy</w:t>
      </w:r>
      <w:r w:rsidRPr="001F1F3C">
        <w:rPr>
          <w:color w:val="595A5B" w:themeColor="text2"/>
          <w:szCs w:val="16"/>
        </w:rPr>
        <w:t xml:space="preserve"> (</w:t>
      </w:r>
      <w:r w:rsidR="003F2CCE" w:rsidRPr="001F1F3C">
        <w:rPr>
          <w:color w:val="595A5B" w:themeColor="text2"/>
          <w:szCs w:val="16"/>
        </w:rPr>
        <w:t>2018</w:t>
      </w:r>
      <w:r w:rsidRPr="001F1F3C">
        <w:rPr>
          <w:color w:val="595A5B" w:themeColor="text2"/>
          <w:szCs w:val="16"/>
        </w:rPr>
        <w:t xml:space="preserve">) </w:t>
      </w:r>
      <w:r w:rsidRPr="001F1F3C">
        <w:rPr>
          <w:i/>
          <w:color w:val="595A5B" w:themeColor="text2"/>
          <w:szCs w:val="16"/>
        </w:rPr>
        <w:t>Australian Energy Statistics</w:t>
      </w:r>
      <w:r w:rsidRPr="001F1F3C">
        <w:rPr>
          <w:color w:val="595A5B" w:themeColor="text2"/>
          <w:szCs w:val="16"/>
        </w:rPr>
        <w:t>, Table J</w:t>
      </w:r>
    </w:p>
    <w:p w14:paraId="65EB6FCD" w14:textId="16A92F0E" w:rsidR="00D826C0" w:rsidRDefault="004F2C76" w:rsidP="00D826C0">
      <w:pPr>
        <w:pStyle w:val="BodyText"/>
      </w:pPr>
      <w:r>
        <w:lastRenderedPageBreak/>
        <w:t xml:space="preserve">Black coal remains Australia’s largest energy export in energy content terms. (Figure 4.2). </w:t>
      </w:r>
      <w:r w:rsidR="00D826C0" w:rsidRPr="001F1F3C">
        <w:t xml:space="preserve">Exports of black coal fell by 3 per cent in 2016–17 in energy content terms, to 10,686 petajoules (around 379 million tonnes), </w:t>
      </w:r>
      <w:r w:rsidR="00D826C0">
        <w:t>reflecting</w:t>
      </w:r>
      <w:r w:rsidR="00D826C0" w:rsidRPr="001F1F3C">
        <w:t xml:space="preserve"> lower demand from major trading partners. On average, coal exports have grown by 5 per cent a year over the past decade.</w:t>
      </w:r>
    </w:p>
    <w:p w14:paraId="69DDFF8B" w14:textId="77777777" w:rsidR="004F2C76" w:rsidRPr="001F1F3C" w:rsidRDefault="004F2C76" w:rsidP="004F2C76">
      <w:pPr>
        <w:pStyle w:val="Caption"/>
        <w:ind w:left="-1985"/>
      </w:pPr>
      <w:bookmarkStart w:id="169" w:name="_Toc523777432"/>
      <w:r>
        <w:t xml:space="preserve">Figure </w:t>
      </w:r>
      <w:r>
        <w:rPr>
          <w:noProof/>
        </w:rPr>
        <w:fldChar w:fldCharType="begin"/>
      </w:r>
      <w:r>
        <w:rPr>
          <w:noProof/>
        </w:rPr>
        <w:instrText xml:space="preserve"> STYLEREF 1 \s </w:instrText>
      </w:r>
      <w:r>
        <w:rPr>
          <w:noProof/>
        </w:rPr>
        <w:fldChar w:fldCharType="separate"/>
      </w:r>
      <w:r>
        <w:rPr>
          <w:noProof/>
        </w:rPr>
        <w:t>4</w:t>
      </w:r>
      <w:r>
        <w:rPr>
          <w:noProof/>
        </w:rPr>
        <w:fldChar w:fldCharType="end"/>
      </w:r>
      <w:r>
        <w:t>.</w:t>
      </w:r>
      <w:r>
        <w:rPr>
          <w:noProof/>
        </w:rPr>
        <w:fldChar w:fldCharType="begin"/>
      </w:r>
      <w:r>
        <w:rPr>
          <w:noProof/>
        </w:rPr>
        <w:instrText xml:space="preserve"> SEQ Figure \* ARABIC \s 1 </w:instrText>
      </w:r>
      <w:r>
        <w:rPr>
          <w:noProof/>
        </w:rPr>
        <w:fldChar w:fldCharType="separate"/>
      </w:r>
      <w:r>
        <w:rPr>
          <w:noProof/>
        </w:rPr>
        <w:t>2</w:t>
      </w:r>
      <w:r>
        <w:rPr>
          <w:noProof/>
        </w:rPr>
        <w:fldChar w:fldCharType="end"/>
      </w:r>
      <w:r>
        <w:t xml:space="preserve">: </w:t>
      </w:r>
      <w:r w:rsidRPr="00DE4B91">
        <w:t>Australian energy trade, 2016–17</w:t>
      </w:r>
      <w:bookmarkEnd w:id="169"/>
    </w:p>
    <w:tbl>
      <w:tblPr>
        <w:tblStyle w:val="OCETable"/>
        <w:tblW w:w="6379" w:type="pct"/>
        <w:tblInd w:w="-1877" w:type="dxa"/>
        <w:tblLayout w:type="fixed"/>
        <w:tblLook w:val="04A0" w:firstRow="1" w:lastRow="0" w:firstColumn="1" w:lastColumn="0" w:noHBand="0" w:noVBand="1"/>
        <w:tblCaption w:val="Placeholder obejct only"/>
      </w:tblPr>
      <w:tblGrid>
        <w:gridCol w:w="8795"/>
      </w:tblGrid>
      <w:tr w:rsidR="004F2C76" w:rsidRPr="001F1F3C" w14:paraId="3EED5D0E" w14:textId="77777777" w:rsidTr="00386C07">
        <w:trPr>
          <w:cnfStyle w:val="100000000000" w:firstRow="1" w:lastRow="0" w:firstColumn="0" w:lastColumn="0" w:oddVBand="0" w:evenVBand="0" w:oddHBand="0" w:evenHBand="0" w:firstRowFirstColumn="0" w:firstRowLastColumn="0" w:lastRowFirstColumn="0" w:lastRowLastColumn="0"/>
          <w:tblHeader/>
        </w:trPr>
        <w:tc>
          <w:tcPr>
            <w:tcW w:w="8795" w:type="dxa"/>
            <w:shd w:val="clear" w:color="auto" w:fill="auto"/>
          </w:tcPr>
          <w:p w14:paraId="04A166B2" w14:textId="77777777" w:rsidR="004F2C76" w:rsidRPr="001F1F3C" w:rsidRDefault="004F2C76" w:rsidP="00386C07">
            <w:pPr>
              <w:pStyle w:val="PlaceholderWide"/>
              <w:ind w:left="-1985"/>
              <w:jc w:val="right"/>
            </w:pPr>
            <w:r>
              <w:rPr>
                <w:noProof/>
                <w:lang w:eastAsia="en-AU"/>
              </w:rPr>
              <w:drawing>
                <wp:inline distT="0" distB="0" distL="0" distR="0" wp14:anchorId="16911413" wp14:editId="56BBE5F5">
                  <wp:extent cx="5447665" cy="2620010"/>
                  <wp:effectExtent l="0" t="0" r="635" b="8890"/>
                  <wp:docPr id="10" name="Picture 10" descr="The figure shows Australian energy imports and exports in 2016-17 by energy type in petajoules" title="Figure 4.2: Australian energy trade, 20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47665" cy="2620010"/>
                          </a:xfrm>
                          <a:prstGeom prst="rect">
                            <a:avLst/>
                          </a:prstGeom>
                        </pic:spPr>
                      </pic:pic>
                    </a:graphicData>
                  </a:graphic>
                </wp:inline>
              </w:drawing>
            </w:r>
          </w:p>
        </w:tc>
      </w:tr>
    </w:tbl>
    <w:p w14:paraId="3317CA3D" w14:textId="77777777" w:rsidR="004F2C76" w:rsidRPr="001F1F3C" w:rsidRDefault="004F2C76" w:rsidP="004F2C76">
      <w:pPr>
        <w:pStyle w:val="SourceWide"/>
        <w:spacing w:after="480"/>
        <w:rPr>
          <w:color w:val="595A5B" w:themeColor="text2"/>
        </w:rPr>
      </w:pPr>
      <w:r w:rsidRPr="001F1F3C">
        <w:rPr>
          <w:color w:val="595A5B" w:themeColor="text2"/>
        </w:rPr>
        <w:t xml:space="preserve">Source: </w:t>
      </w:r>
      <w:r w:rsidRPr="001F1F3C">
        <w:rPr>
          <w:color w:val="595A5B" w:themeColor="text2"/>
          <w:szCs w:val="16"/>
        </w:rPr>
        <w:t xml:space="preserve">Department of the Environment and Energy (2018) </w:t>
      </w:r>
      <w:r w:rsidRPr="001F1F3C">
        <w:rPr>
          <w:i/>
          <w:color w:val="595A5B" w:themeColor="text2"/>
          <w:szCs w:val="16"/>
        </w:rPr>
        <w:t>Australian Energy Statistics</w:t>
      </w:r>
      <w:r>
        <w:rPr>
          <w:color w:val="595A5B" w:themeColor="text2"/>
          <w:szCs w:val="16"/>
        </w:rPr>
        <w:t>, Table J</w:t>
      </w:r>
    </w:p>
    <w:p w14:paraId="142CF4E6" w14:textId="3F9AB238" w:rsidR="00D826C0" w:rsidRPr="001F1F3C" w:rsidRDefault="00D826C0" w:rsidP="00D826C0">
      <w:pPr>
        <w:pStyle w:val="BodyText"/>
      </w:pPr>
      <w:r w:rsidRPr="001F1F3C">
        <w:t xml:space="preserve">LNG exports increased by 41 per cent in 2016–17, to 2,865 petajoules (around 52 million tonnes), as new export capacity </w:t>
      </w:r>
      <w:r>
        <w:t>came online in Queensland and Western Australia</w:t>
      </w:r>
      <w:r w:rsidRPr="001F1F3C">
        <w:t>. Exports of LNG have in</w:t>
      </w:r>
      <w:r>
        <w:t>creased by an average of 16 per </w:t>
      </w:r>
      <w:r w:rsidRPr="001F1F3C">
        <w:t xml:space="preserve">cent a year over the past decade, </w:t>
      </w:r>
      <w:r w:rsidR="00F45B8A">
        <w:t>with</w:t>
      </w:r>
      <w:r w:rsidRPr="001F1F3C">
        <w:t xml:space="preserve"> several new facilities commencing production.</w:t>
      </w:r>
    </w:p>
    <w:p w14:paraId="1BBBE4D6" w14:textId="77777777" w:rsidR="00D826C0" w:rsidRPr="001F1F3C" w:rsidRDefault="00D826C0" w:rsidP="00D826C0">
      <w:pPr>
        <w:pStyle w:val="BodyText"/>
      </w:pPr>
      <w:r w:rsidRPr="001F1F3C">
        <w:t>Crude oil exports fell by 8 per cent in 2016–1</w:t>
      </w:r>
      <w:r>
        <w:t>7 to 474 petajoules (13 billion </w:t>
      </w:r>
      <w:r w:rsidRPr="001F1F3C">
        <w:t xml:space="preserve">litres), roughly in line with decline in domestic production. </w:t>
      </w:r>
      <w:r>
        <w:t>Australia also exports a small volume of refined products. Petrol and fuel oil exports increased strongly in 2016–17, but refined product exported remain a relatively small proportion of local production.</w:t>
      </w:r>
    </w:p>
    <w:p w14:paraId="596DE2EE" w14:textId="58959998" w:rsidR="002104AB" w:rsidRDefault="00CF5AC7" w:rsidP="00CF5AC7">
      <w:pPr>
        <w:pStyle w:val="BodyText"/>
      </w:pPr>
      <w:r w:rsidRPr="001F1F3C">
        <w:t xml:space="preserve">Australia also exports </w:t>
      </w:r>
      <w:r w:rsidR="002104AB">
        <w:t xml:space="preserve">large volumes of </w:t>
      </w:r>
      <w:r w:rsidRPr="001F1F3C">
        <w:t xml:space="preserve">uranium oxide, which is enriched overseas for use in nuclear power plants. </w:t>
      </w:r>
      <w:r w:rsidR="00F45B8A">
        <w:t xml:space="preserve">Australia accounted for 11 per cent of world uranium production in 2016–17 and is one of the world’s largest exporters. </w:t>
      </w:r>
      <w:r w:rsidR="002104AB">
        <w:t>U</w:t>
      </w:r>
      <w:r w:rsidR="002104AB" w:rsidRPr="001F1F3C">
        <w:t xml:space="preserve">ranium oxide is not included </w:t>
      </w:r>
      <w:r w:rsidR="002104AB">
        <w:t>a country’s energy balance</w:t>
      </w:r>
      <w:r w:rsidR="002104AB" w:rsidRPr="001F1F3C">
        <w:t>. Instead, the heat content of the steam leaving the nuclear reactor for the turbine is counted, which is not applicable for Australia.</w:t>
      </w:r>
    </w:p>
    <w:p w14:paraId="1BBAA79E" w14:textId="76A36764" w:rsidR="00CF5AC7" w:rsidRDefault="00CF5AC7" w:rsidP="00CF5AC7">
      <w:pPr>
        <w:pStyle w:val="BodyText"/>
      </w:pPr>
      <w:r w:rsidRPr="001F1F3C">
        <w:t>Uranium exports declined by 5 per cent in 2016–17, to 7,</w:t>
      </w:r>
      <w:r w:rsidR="00A84085">
        <w:t>081</w:t>
      </w:r>
      <w:r w:rsidR="00A84085" w:rsidRPr="001F1F3C">
        <w:t xml:space="preserve"> </w:t>
      </w:r>
      <w:r w:rsidRPr="001F1F3C">
        <w:t>tonnes, which has an energy content of around 3,</w:t>
      </w:r>
      <w:r w:rsidR="00A84085">
        <w:t>328</w:t>
      </w:r>
      <w:r w:rsidR="00A84085" w:rsidRPr="001F1F3C">
        <w:t> </w:t>
      </w:r>
      <w:r w:rsidRPr="001F1F3C">
        <w:t>petajoules</w:t>
      </w:r>
      <w:r w:rsidR="002104AB">
        <w:t xml:space="preserve"> (Figure 4.3)</w:t>
      </w:r>
      <w:r w:rsidRPr="001F1F3C">
        <w:t xml:space="preserve">. </w:t>
      </w:r>
      <w:r w:rsidR="004327C2">
        <w:t>This</w:t>
      </w:r>
      <w:r w:rsidR="0060060D">
        <w:t xml:space="preserve"> reflects closure of Olympic Dam during 2017 for upgrades. </w:t>
      </w:r>
      <w:r w:rsidRPr="001F1F3C">
        <w:t>While Australia exports all of its uranium production, production and export figures can differ due to stockpiling.</w:t>
      </w:r>
    </w:p>
    <w:p w14:paraId="72FD1FDA" w14:textId="011BEC06" w:rsidR="002104AB" w:rsidRPr="001F1F3C" w:rsidRDefault="002104AB" w:rsidP="002104AB">
      <w:pPr>
        <w:pStyle w:val="Caption"/>
        <w:ind w:left="-1985"/>
      </w:pPr>
      <w:bookmarkStart w:id="170" w:name="_Toc523777433"/>
      <w:r>
        <w:lastRenderedPageBreak/>
        <w:t xml:space="preserve">Figure </w:t>
      </w:r>
      <w:r>
        <w:rPr>
          <w:noProof/>
        </w:rPr>
        <w:fldChar w:fldCharType="begin"/>
      </w:r>
      <w:r>
        <w:rPr>
          <w:noProof/>
        </w:rPr>
        <w:instrText xml:space="preserve"> STYLEREF 1 \s </w:instrText>
      </w:r>
      <w:r>
        <w:rPr>
          <w:noProof/>
        </w:rPr>
        <w:fldChar w:fldCharType="separate"/>
      </w:r>
      <w:r>
        <w:rPr>
          <w:noProof/>
        </w:rPr>
        <w:t>4</w:t>
      </w:r>
      <w:r>
        <w:rPr>
          <w:noProof/>
        </w:rPr>
        <w:fldChar w:fldCharType="end"/>
      </w:r>
      <w:r>
        <w:t>.</w:t>
      </w:r>
      <w:r>
        <w:rPr>
          <w:noProof/>
        </w:rPr>
        <w:fldChar w:fldCharType="begin"/>
      </w:r>
      <w:r>
        <w:rPr>
          <w:noProof/>
        </w:rPr>
        <w:instrText xml:space="preserve"> SEQ Figure \* ARABIC \s 1 </w:instrText>
      </w:r>
      <w:r>
        <w:rPr>
          <w:noProof/>
        </w:rPr>
        <w:fldChar w:fldCharType="separate"/>
      </w:r>
      <w:r>
        <w:rPr>
          <w:noProof/>
        </w:rPr>
        <w:t>3</w:t>
      </w:r>
      <w:r>
        <w:rPr>
          <w:noProof/>
        </w:rPr>
        <w:fldChar w:fldCharType="end"/>
      </w:r>
      <w:r>
        <w:t xml:space="preserve">: </w:t>
      </w:r>
      <w:r w:rsidRPr="001F1F3C">
        <w:t xml:space="preserve">Australian </w:t>
      </w:r>
      <w:r>
        <w:t>uranium exports</w:t>
      </w:r>
      <w:bookmarkEnd w:id="170"/>
    </w:p>
    <w:tbl>
      <w:tblPr>
        <w:tblStyle w:val="OCETable"/>
        <w:tblW w:w="6379" w:type="pct"/>
        <w:tblInd w:w="-1877" w:type="dxa"/>
        <w:tblLayout w:type="fixed"/>
        <w:tblLook w:val="04A0" w:firstRow="1" w:lastRow="0" w:firstColumn="1" w:lastColumn="0" w:noHBand="0" w:noVBand="1"/>
        <w:tblCaption w:val="Placeholder obejct only"/>
      </w:tblPr>
      <w:tblGrid>
        <w:gridCol w:w="8795"/>
      </w:tblGrid>
      <w:tr w:rsidR="002104AB" w:rsidRPr="001F1F3C" w14:paraId="0C62090C" w14:textId="77777777" w:rsidTr="00386C07">
        <w:trPr>
          <w:cnfStyle w:val="100000000000" w:firstRow="1" w:lastRow="0" w:firstColumn="0" w:lastColumn="0" w:oddVBand="0" w:evenVBand="0" w:oddHBand="0" w:evenHBand="0" w:firstRowFirstColumn="0" w:firstRowLastColumn="0" w:lastRowFirstColumn="0" w:lastRowLastColumn="0"/>
          <w:tblHeader/>
        </w:trPr>
        <w:tc>
          <w:tcPr>
            <w:tcW w:w="8795" w:type="dxa"/>
            <w:shd w:val="clear" w:color="auto" w:fill="auto"/>
          </w:tcPr>
          <w:p w14:paraId="73BBF2E4" w14:textId="21666E6F" w:rsidR="002104AB" w:rsidRPr="001F1F3C" w:rsidRDefault="007675A7" w:rsidP="00386C07">
            <w:pPr>
              <w:pStyle w:val="PlaceholderWide"/>
              <w:ind w:left="-1985"/>
              <w:jc w:val="right"/>
            </w:pPr>
            <w:r>
              <w:rPr>
                <w:noProof/>
                <w:lang w:eastAsia="en-AU"/>
              </w:rPr>
              <w:drawing>
                <wp:inline distT="0" distB="0" distL="0" distR="0" wp14:anchorId="51AB58C9" wp14:editId="7D0DF143">
                  <wp:extent cx="5419725" cy="3249295"/>
                  <wp:effectExtent l="0" t="0" r="9525" b="8255"/>
                  <wp:docPr id="1567785" name="Picture 1567785" descr="The figure shows Australian uranium exports in tonnes from 1976-77 to 2016-17&#10;" title="Figure 4.3: Australian uranium ex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19725" cy="3249295"/>
                          </a:xfrm>
                          <a:prstGeom prst="rect">
                            <a:avLst/>
                          </a:prstGeom>
                          <a:noFill/>
                        </pic:spPr>
                      </pic:pic>
                    </a:graphicData>
                  </a:graphic>
                </wp:inline>
              </w:drawing>
            </w:r>
          </w:p>
        </w:tc>
      </w:tr>
    </w:tbl>
    <w:p w14:paraId="2801BA59" w14:textId="00F2825E" w:rsidR="002104AB" w:rsidRDefault="002104AB" w:rsidP="002104AB">
      <w:pPr>
        <w:pStyle w:val="SourceWide"/>
        <w:rPr>
          <w:color w:val="595A5B" w:themeColor="text2"/>
          <w:szCs w:val="16"/>
        </w:rPr>
      </w:pPr>
      <w:r w:rsidRPr="001F1F3C">
        <w:rPr>
          <w:color w:val="595A5B" w:themeColor="text2"/>
        </w:rPr>
        <w:t xml:space="preserve">Source: </w:t>
      </w:r>
      <w:r w:rsidRPr="001F1F3C">
        <w:rPr>
          <w:color w:val="595A5B" w:themeColor="text2"/>
          <w:szCs w:val="16"/>
        </w:rPr>
        <w:t xml:space="preserve">Department of the Environment and Energy (2018) </w:t>
      </w:r>
      <w:r w:rsidRPr="001F1F3C">
        <w:rPr>
          <w:i/>
          <w:color w:val="595A5B" w:themeColor="text2"/>
          <w:szCs w:val="16"/>
        </w:rPr>
        <w:t>Australian Energy Statistics</w:t>
      </w:r>
      <w:r w:rsidRPr="001F1F3C">
        <w:rPr>
          <w:color w:val="595A5B" w:themeColor="text2"/>
          <w:szCs w:val="16"/>
        </w:rPr>
        <w:t xml:space="preserve">, Table </w:t>
      </w:r>
      <w:r>
        <w:rPr>
          <w:color w:val="595A5B" w:themeColor="text2"/>
          <w:szCs w:val="16"/>
        </w:rPr>
        <w:t>S</w:t>
      </w:r>
    </w:p>
    <w:p w14:paraId="29D40C26" w14:textId="77777777" w:rsidR="001F4600" w:rsidRPr="001F1F3C" w:rsidRDefault="001F4600" w:rsidP="001F4600">
      <w:pPr>
        <w:pStyle w:val="Heading2"/>
      </w:pPr>
      <w:bookmarkStart w:id="171" w:name="_Toc392157290"/>
      <w:bookmarkStart w:id="172" w:name="_Toc427614403"/>
      <w:bookmarkStart w:id="173" w:name="_Toc428130037"/>
      <w:bookmarkStart w:id="174" w:name="_Toc522197035"/>
      <w:bookmarkStart w:id="175" w:name="_Toc522633196"/>
      <w:r w:rsidRPr="001F1F3C">
        <w:t>Imports</w:t>
      </w:r>
      <w:bookmarkEnd w:id="171"/>
      <w:bookmarkEnd w:id="172"/>
      <w:bookmarkEnd w:id="173"/>
      <w:bookmarkEnd w:id="174"/>
      <w:bookmarkEnd w:id="175"/>
    </w:p>
    <w:p w14:paraId="3232823D" w14:textId="77777777" w:rsidR="002104AB" w:rsidRDefault="00693E60" w:rsidP="002104AB">
      <w:pPr>
        <w:pStyle w:val="BodyText"/>
      </w:pPr>
      <w:r w:rsidRPr="001F1F3C">
        <w:t>Australia’s energy imports increased by</w:t>
      </w:r>
      <w:r w:rsidR="00606A78">
        <w:t xml:space="preserve"> 2 per cent in 2016–17 to 2,327 </w:t>
      </w:r>
      <w:r w:rsidRPr="001F1F3C">
        <w:t>petajoules, although as with recent years, this masked large movements in individual fuels</w:t>
      </w:r>
      <w:r w:rsidR="002104AB">
        <w:t xml:space="preserve"> (Table 4.2)</w:t>
      </w:r>
      <w:r w:rsidRPr="001F1F3C">
        <w:t xml:space="preserve">. </w:t>
      </w:r>
    </w:p>
    <w:p w14:paraId="6FC6A19A" w14:textId="56BB2A36" w:rsidR="002104AB" w:rsidRDefault="00693E60" w:rsidP="002104AB">
      <w:pPr>
        <w:pStyle w:val="BodyText"/>
      </w:pPr>
      <w:r w:rsidRPr="001F1F3C">
        <w:t xml:space="preserve">Refined products and crude oil </w:t>
      </w:r>
      <w:r w:rsidR="0051400D">
        <w:t xml:space="preserve">are by far </w:t>
      </w:r>
      <w:r w:rsidRPr="001F1F3C">
        <w:t xml:space="preserve">Australia’s </w:t>
      </w:r>
      <w:r w:rsidR="00143420">
        <w:t>largest energy imports (Figure 4</w:t>
      </w:r>
      <w:r w:rsidRPr="001F1F3C">
        <w:t>.</w:t>
      </w:r>
      <w:r w:rsidR="002104AB">
        <w:t>4)</w:t>
      </w:r>
      <w:r w:rsidR="0051400D">
        <w:t>, with the majority of consumption of these commodities met by imports</w:t>
      </w:r>
      <w:r w:rsidRPr="001F1F3C">
        <w:t>.</w:t>
      </w:r>
      <w:r w:rsidR="002104AB">
        <w:t xml:space="preserve"> </w:t>
      </w:r>
      <w:r w:rsidR="002104AB" w:rsidRPr="001F1F3C">
        <w:t>Natural gas from the Joint Petroleum Development Area in the Timor Sea, which is liquefied at Darwin before being re-exported, was the third largest energy import.</w:t>
      </w:r>
    </w:p>
    <w:p w14:paraId="2DE96D8A" w14:textId="595E56F5" w:rsidR="005660C2" w:rsidRPr="001F1F3C" w:rsidRDefault="00C1400E" w:rsidP="00082FE6">
      <w:pPr>
        <w:pStyle w:val="Caption"/>
      </w:pPr>
      <w:bookmarkStart w:id="176" w:name="_Toc461142067"/>
      <w:bookmarkStart w:id="177" w:name="_Toc522199782"/>
      <w:bookmarkStart w:id="178" w:name="_Toc522635726"/>
      <w:r>
        <w:t xml:space="preserve">Table </w:t>
      </w:r>
      <w:r w:rsidR="00941B67">
        <w:rPr>
          <w:noProof/>
        </w:rPr>
        <w:fldChar w:fldCharType="begin"/>
      </w:r>
      <w:r w:rsidR="00941B67">
        <w:rPr>
          <w:noProof/>
        </w:rPr>
        <w:instrText xml:space="preserve"> STYLEREF 1 \s </w:instrText>
      </w:r>
      <w:r w:rsidR="00941B67">
        <w:rPr>
          <w:noProof/>
        </w:rPr>
        <w:fldChar w:fldCharType="separate"/>
      </w:r>
      <w:r w:rsidR="00D72ABB">
        <w:rPr>
          <w:noProof/>
        </w:rPr>
        <w:t>4</w:t>
      </w:r>
      <w:r w:rsidR="00941B67">
        <w:rPr>
          <w:noProof/>
        </w:rPr>
        <w:fldChar w:fldCharType="end"/>
      </w:r>
      <w:r>
        <w:t>.</w:t>
      </w:r>
      <w:r w:rsidR="00941B67">
        <w:rPr>
          <w:noProof/>
        </w:rPr>
        <w:fldChar w:fldCharType="begin"/>
      </w:r>
      <w:r w:rsidR="00941B67">
        <w:rPr>
          <w:noProof/>
        </w:rPr>
        <w:instrText xml:space="preserve"> SEQ Table \* ARABIC \s 1 </w:instrText>
      </w:r>
      <w:r w:rsidR="00941B67">
        <w:rPr>
          <w:noProof/>
        </w:rPr>
        <w:fldChar w:fldCharType="separate"/>
      </w:r>
      <w:r w:rsidR="00D72ABB">
        <w:rPr>
          <w:noProof/>
        </w:rPr>
        <w:t>2</w:t>
      </w:r>
      <w:r w:rsidR="00941B67">
        <w:rPr>
          <w:noProof/>
        </w:rPr>
        <w:fldChar w:fldCharType="end"/>
      </w:r>
      <w:r>
        <w:t xml:space="preserve">: </w:t>
      </w:r>
      <w:r w:rsidR="005660C2" w:rsidRPr="001F1F3C">
        <w:t>Australian energy imports, by fuel type</w:t>
      </w:r>
      <w:bookmarkEnd w:id="176"/>
      <w:bookmarkEnd w:id="177"/>
      <w:bookmarkEnd w:id="178"/>
    </w:p>
    <w:tbl>
      <w:tblPr>
        <w:tblW w:w="5000" w:type="pct"/>
        <w:shd w:val="clear" w:color="auto" w:fill="CAE7F3"/>
        <w:tblLayout w:type="fixed"/>
        <w:tblLook w:val="04C0" w:firstRow="0" w:lastRow="1" w:firstColumn="1" w:lastColumn="0" w:noHBand="0" w:noVBand="1"/>
      </w:tblPr>
      <w:tblGrid>
        <w:gridCol w:w="2268"/>
        <w:gridCol w:w="994"/>
        <w:gridCol w:w="991"/>
        <w:gridCol w:w="425"/>
        <w:gridCol w:w="1080"/>
        <w:gridCol w:w="1136"/>
      </w:tblGrid>
      <w:tr w:rsidR="005660C2" w:rsidRPr="001F1F3C" w14:paraId="611C063D" w14:textId="77777777" w:rsidTr="00607D93">
        <w:trPr>
          <w:trHeight w:val="228"/>
        </w:trPr>
        <w:tc>
          <w:tcPr>
            <w:tcW w:w="1645" w:type="pct"/>
            <w:shd w:val="clear" w:color="auto" w:fill="22789A"/>
            <w:noWrap/>
            <w:vAlign w:val="bottom"/>
            <w:hideMark/>
          </w:tcPr>
          <w:p w14:paraId="6F1C0505" w14:textId="77777777" w:rsidR="005660C2" w:rsidRPr="001F1F3C" w:rsidRDefault="005660C2" w:rsidP="007304B9">
            <w:pPr>
              <w:pStyle w:val="Tableheader"/>
              <w:rPr>
                <w:lang w:eastAsia="en-AU"/>
              </w:rPr>
            </w:pPr>
          </w:p>
        </w:tc>
        <w:tc>
          <w:tcPr>
            <w:tcW w:w="1440" w:type="pct"/>
            <w:gridSpan w:val="2"/>
            <w:shd w:val="clear" w:color="auto" w:fill="22789A"/>
            <w:noWrap/>
            <w:vAlign w:val="bottom"/>
            <w:hideMark/>
          </w:tcPr>
          <w:p w14:paraId="20F9925F" w14:textId="520406A6" w:rsidR="005660C2" w:rsidRPr="001F1F3C" w:rsidRDefault="003F2CCE" w:rsidP="00095DEC">
            <w:pPr>
              <w:pStyle w:val="Tableheader"/>
              <w:jc w:val="center"/>
              <w:rPr>
                <w:iCs/>
                <w:color w:val="FFFFFF" w:themeColor="background2"/>
                <w:lang w:eastAsia="en-AU"/>
              </w:rPr>
            </w:pPr>
            <w:r w:rsidRPr="001F1F3C">
              <w:rPr>
                <w:iCs/>
                <w:color w:val="FFFFFF" w:themeColor="background2"/>
                <w:lang w:eastAsia="en-AU"/>
              </w:rPr>
              <w:t>2016–17</w:t>
            </w:r>
          </w:p>
        </w:tc>
        <w:tc>
          <w:tcPr>
            <w:tcW w:w="308" w:type="pct"/>
            <w:shd w:val="clear" w:color="auto" w:fill="22789A"/>
            <w:noWrap/>
            <w:vAlign w:val="bottom"/>
            <w:hideMark/>
          </w:tcPr>
          <w:p w14:paraId="2170FC3D" w14:textId="77777777" w:rsidR="005660C2" w:rsidRPr="001F1F3C" w:rsidRDefault="005660C2" w:rsidP="007304B9">
            <w:pPr>
              <w:pStyle w:val="Tableheader"/>
              <w:rPr>
                <w:iCs/>
                <w:color w:val="FFFFFF" w:themeColor="background2"/>
                <w:lang w:eastAsia="en-AU"/>
              </w:rPr>
            </w:pPr>
          </w:p>
        </w:tc>
        <w:tc>
          <w:tcPr>
            <w:tcW w:w="1607" w:type="pct"/>
            <w:gridSpan w:val="2"/>
            <w:shd w:val="clear" w:color="auto" w:fill="22789A"/>
            <w:noWrap/>
            <w:vAlign w:val="bottom"/>
            <w:hideMark/>
          </w:tcPr>
          <w:p w14:paraId="06896CB5" w14:textId="77777777" w:rsidR="005660C2" w:rsidRPr="001F1F3C" w:rsidRDefault="0059492A" w:rsidP="007304B9">
            <w:pPr>
              <w:pStyle w:val="Tableheader"/>
              <w:jc w:val="center"/>
              <w:rPr>
                <w:iCs/>
                <w:color w:val="FFFFFF" w:themeColor="background2"/>
                <w:lang w:eastAsia="en-AU"/>
              </w:rPr>
            </w:pPr>
            <w:r w:rsidRPr="001F1F3C">
              <w:rPr>
                <w:iCs/>
                <w:color w:val="FFFFFF" w:themeColor="background2"/>
                <w:lang w:eastAsia="en-AU"/>
              </w:rPr>
              <w:t>A</w:t>
            </w:r>
            <w:r w:rsidR="005660C2" w:rsidRPr="001F1F3C">
              <w:rPr>
                <w:iCs/>
                <w:color w:val="FFFFFF" w:themeColor="background2"/>
                <w:lang w:eastAsia="en-AU"/>
              </w:rPr>
              <w:t>verage annual growth</w:t>
            </w:r>
          </w:p>
        </w:tc>
      </w:tr>
      <w:tr w:rsidR="00790447" w:rsidRPr="001F1F3C" w14:paraId="495DFD5D" w14:textId="77777777" w:rsidTr="00607D93">
        <w:trPr>
          <w:trHeight w:val="228"/>
        </w:trPr>
        <w:tc>
          <w:tcPr>
            <w:tcW w:w="1645" w:type="pct"/>
            <w:shd w:val="clear" w:color="auto" w:fill="CAE7F3"/>
            <w:noWrap/>
            <w:vAlign w:val="bottom"/>
            <w:hideMark/>
          </w:tcPr>
          <w:p w14:paraId="0B282BA1" w14:textId="77777777" w:rsidR="00790447" w:rsidRPr="001F1F3C" w:rsidRDefault="00790447" w:rsidP="00790447">
            <w:pPr>
              <w:pStyle w:val="Tabletext"/>
              <w:rPr>
                <w:i/>
                <w:iCs/>
                <w:color w:val="595A5B" w:themeColor="text2"/>
                <w:lang w:eastAsia="en-AU"/>
              </w:rPr>
            </w:pPr>
          </w:p>
        </w:tc>
        <w:tc>
          <w:tcPr>
            <w:tcW w:w="721" w:type="pct"/>
            <w:shd w:val="clear" w:color="auto" w:fill="CAE7F3"/>
            <w:noWrap/>
            <w:vAlign w:val="bottom"/>
            <w:hideMark/>
          </w:tcPr>
          <w:p w14:paraId="1F1E6E52" w14:textId="7F7FE24C" w:rsidR="00790447" w:rsidRPr="001F1F3C" w:rsidRDefault="00790447" w:rsidP="00790447">
            <w:pPr>
              <w:pStyle w:val="Tabletext"/>
              <w:jc w:val="right"/>
              <w:rPr>
                <w:color w:val="595A5B" w:themeColor="text2"/>
                <w:lang w:eastAsia="en-AU"/>
              </w:rPr>
            </w:pPr>
            <w:r w:rsidRPr="001F1F3C">
              <w:rPr>
                <w:color w:val="595A5B" w:themeColor="text2"/>
                <w:lang w:eastAsia="en-AU"/>
              </w:rPr>
              <w:t>PJ</w:t>
            </w:r>
          </w:p>
        </w:tc>
        <w:tc>
          <w:tcPr>
            <w:tcW w:w="719" w:type="pct"/>
            <w:shd w:val="clear" w:color="auto" w:fill="CAE7F3"/>
            <w:noWrap/>
            <w:vAlign w:val="bottom"/>
            <w:hideMark/>
          </w:tcPr>
          <w:p w14:paraId="6D7B076B" w14:textId="68196F33" w:rsidR="00790447" w:rsidRPr="001F1F3C" w:rsidRDefault="00790447" w:rsidP="00790447">
            <w:pPr>
              <w:pStyle w:val="Tabletext"/>
              <w:jc w:val="right"/>
              <w:rPr>
                <w:color w:val="595A5B" w:themeColor="text2"/>
                <w:lang w:eastAsia="en-AU"/>
              </w:rPr>
            </w:pPr>
            <w:r w:rsidRPr="001F1F3C">
              <w:rPr>
                <w:color w:val="595A5B" w:themeColor="text2"/>
                <w:lang w:eastAsia="en-AU"/>
              </w:rPr>
              <w:t xml:space="preserve">share </w:t>
            </w:r>
            <w:r w:rsidRPr="001F1F3C">
              <w:rPr>
                <w:color w:val="595A5B" w:themeColor="text2"/>
                <w:lang w:eastAsia="en-AU"/>
              </w:rPr>
              <w:br/>
              <w:t>(per cent)</w:t>
            </w:r>
          </w:p>
        </w:tc>
        <w:tc>
          <w:tcPr>
            <w:tcW w:w="308" w:type="pct"/>
            <w:shd w:val="clear" w:color="auto" w:fill="CAE7F3"/>
            <w:noWrap/>
            <w:vAlign w:val="bottom"/>
            <w:hideMark/>
          </w:tcPr>
          <w:p w14:paraId="23D88697" w14:textId="77777777" w:rsidR="00790447" w:rsidRPr="001F1F3C" w:rsidRDefault="00790447" w:rsidP="00790447">
            <w:pPr>
              <w:pStyle w:val="Tabletext"/>
              <w:jc w:val="right"/>
              <w:rPr>
                <w:color w:val="595A5B" w:themeColor="text2"/>
                <w:lang w:eastAsia="en-AU"/>
              </w:rPr>
            </w:pPr>
          </w:p>
        </w:tc>
        <w:tc>
          <w:tcPr>
            <w:tcW w:w="783" w:type="pct"/>
            <w:shd w:val="clear" w:color="auto" w:fill="CAE7F3"/>
            <w:noWrap/>
            <w:vAlign w:val="bottom"/>
            <w:hideMark/>
          </w:tcPr>
          <w:p w14:paraId="44B005EE" w14:textId="743EA88E" w:rsidR="00790447" w:rsidRPr="001F1F3C" w:rsidRDefault="00790447" w:rsidP="00790447">
            <w:pPr>
              <w:pStyle w:val="Tabletext"/>
              <w:jc w:val="right"/>
              <w:rPr>
                <w:color w:val="595A5B" w:themeColor="text2"/>
                <w:lang w:eastAsia="en-AU"/>
              </w:rPr>
            </w:pPr>
            <w:r w:rsidRPr="001F1F3C">
              <w:rPr>
                <w:color w:val="595A5B" w:themeColor="text2"/>
                <w:lang w:eastAsia="en-AU"/>
              </w:rPr>
              <w:t xml:space="preserve">2016–17 </w:t>
            </w:r>
            <w:r w:rsidRPr="001F1F3C">
              <w:rPr>
                <w:color w:val="595A5B" w:themeColor="text2"/>
                <w:lang w:eastAsia="en-AU"/>
              </w:rPr>
              <w:br/>
              <w:t>(per cent)</w:t>
            </w:r>
          </w:p>
        </w:tc>
        <w:tc>
          <w:tcPr>
            <w:tcW w:w="824" w:type="pct"/>
            <w:shd w:val="clear" w:color="auto" w:fill="CAE7F3"/>
            <w:noWrap/>
            <w:vAlign w:val="bottom"/>
            <w:hideMark/>
          </w:tcPr>
          <w:p w14:paraId="2FE04258" w14:textId="22D537D0" w:rsidR="00790447" w:rsidRPr="001F1F3C" w:rsidRDefault="00790447" w:rsidP="00790447">
            <w:pPr>
              <w:pStyle w:val="Tabletext"/>
              <w:jc w:val="right"/>
              <w:rPr>
                <w:color w:val="595A5B" w:themeColor="text2"/>
                <w:lang w:eastAsia="en-AU"/>
              </w:rPr>
            </w:pPr>
            <w:r w:rsidRPr="001F1F3C">
              <w:rPr>
                <w:color w:val="595A5B" w:themeColor="text2"/>
                <w:lang w:eastAsia="en-AU"/>
              </w:rPr>
              <w:t xml:space="preserve">10 years </w:t>
            </w:r>
            <w:r w:rsidRPr="001F1F3C">
              <w:rPr>
                <w:color w:val="595A5B" w:themeColor="text2"/>
                <w:lang w:eastAsia="en-AU"/>
              </w:rPr>
              <w:br/>
              <w:t>(per cent)</w:t>
            </w:r>
          </w:p>
        </w:tc>
      </w:tr>
      <w:tr w:rsidR="00607D93" w:rsidRPr="001F1F3C" w14:paraId="2755B0E4" w14:textId="77777777" w:rsidTr="00607D93">
        <w:trPr>
          <w:trHeight w:val="228"/>
        </w:trPr>
        <w:tc>
          <w:tcPr>
            <w:tcW w:w="1645" w:type="pct"/>
            <w:shd w:val="clear" w:color="auto" w:fill="CAE7F3"/>
            <w:noWrap/>
            <w:hideMark/>
          </w:tcPr>
          <w:p w14:paraId="35CDB8FE" w14:textId="5DBFFCB9" w:rsidR="00607D93" w:rsidRPr="001F1F3C" w:rsidRDefault="00607D93" w:rsidP="00607D93">
            <w:pPr>
              <w:pStyle w:val="Tabletext"/>
              <w:rPr>
                <w:color w:val="595A5B" w:themeColor="text2"/>
                <w:lang w:eastAsia="en-AU"/>
              </w:rPr>
            </w:pPr>
            <w:r w:rsidRPr="00DE085C">
              <w:t>Crude oil</w:t>
            </w:r>
          </w:p>
        </w:tc>
        <w:tc>
          <w:tcPr>
            <w:tcW w:w="721" w:type="pct"/>
            <w:shd w:val="clear" w:color="auto" w:fill="CAE7F3"/>
            <w:noWrap/>
          </w:tcPr>
          <w:p w14:paraId="303ECACE" w14:textId="294F1C47" w:rsidR="00607D93" w:rsidRPr="001F1F3C" w:rsidRDefault="00607D93" w:rsidP="00607D93">
            <w:pPr>
              <w:pStyle w:val="Tabletext"/>
              <w:jc w:val="right"/>
              <w:rPr>
                <w:color w:val="595A5B" w:themeColor="text2"/>
                <w:lang w:eastAsia="en-AU"/>
              </w:rPr>
            </w:pPr>
            <w:r w:rsidRPr="00DE085C">
              <w:t xml:space="preserve"> 787.7</w:t>
            </w:r>
          </w:p>
        </w:tc>
        <w:tc>
          <w:tcPr>
            <w:tcW w:w="719" w:type="pct"/>
            <w:shd w:val="clear" w:color="auto" w:fill="CAE7F3"/>
            <w:noWrap/>
          </w:tcPr>
          <w:p w14:paraId="73F71534" w14:textId="5AFC85D1" w:rsidR="00607D93" w:rsidRPr="001F1F3C" w:rsidRDefault="00607D93" w:rsidP="00607D93">
            <w:pPr>
              <w:pStyle w:val="Tabletext"/>
              <w:jc w:val="right"/>
              <w:rPr>
                <w:color w:val="595A5B" w:themeColor="text2"/>
                <w:lang w:eastAsia="en-AU"/>
              </w:rPr>
            </w:pPr>
            <w:r w:rsidRPr="00DE085C">
              <w:t xml:space="preserve"> 33.8</w:t>
            </w:r>
          </w:p>
        </w:tc>
        <w:tc>
          <w:tcPr>
            <w:tcW w:w="308" w:type="pct"/>
            <w:shd w:val="clear" w:color="auto" w:fill="CAE7F3"/>
            <w:noWrap/>
          </w:tcPr>
          <w:p w14:paraId="68F559F5" w14:textId="77777777" w:rsidR="00607D93" w:rsidRPr="001F1F3C" w:rsidRDefault="00607D93" w:rsidP="00607D93">
            <w:pPr>
              <w:pStyle w:val="Tabletext"/>
              <w:jc w:val="right"/>
              <w:rPr>
                <w:color w:val="595A5B" w:themeColor="text2"/>
                <w:lang w:eastAsia="en-AU"/>
              </w:rPr>
            </w:pPr>
          </w:p>
        </w:tc>
        <w:tc>
          <w:tcPr>
            <w:tcW w:w="783" w:type="pct"/>
            <w:shd w:val="clear" w:color="auto" w:fill="CAE7F3"/>
            <w:noWrap/>
          </w:tcPr>
          <w:p w14:paraId="278905C4" w14:textId="24A67B58" w:rsidR="00607D93" w:rsidRPr="001F1F3C" w:rsidRDefault="00607D93" w:rsidP="00607D93">
            <w:pPr>
              <w:pStyle w:val="Tabletext"/>
              <w:jc w:val="right"/>
              <w:rPr>
                <w:color w:val="595A5B" w:themeColor="text2"/>
                <w:lang w:eastAsia="en-AU"/>
              </w:rPr>
            </w:pPr>
            <w:r w:rsidRPr="00DE085C">
              <w:t xml:space="preserve"> 2.5</w:t>
            </w:r>
          </w:p>
        </w:tc>
        <w:tc>
          <w:tcPr>
            <w:tcW w:w="824" w:type="pct"/>
            <w:shd w:val="clear" w:color="auto" w:fill="CAE7F3"/>
            <w:noWrap/>
          </w:tcPr>
          <w:p w14:paraId="4EAEEA0C" w14:textId="65C8D793" w:rsidR="00607D93" w:rsidRPr="001F1F3C" w:rsidRDefault="00607D93">
            <w:pPr>
              <w:pStyle w:val="Tabletext"/>
              <w:jc w:val="right"/>
              <w:rPr>
                <w:color w:val="595A5B" w:themeColor="text2"/>
                <w:lang w:eastAsia="en-AU"/>
              </w:rPr>
            </w:pPr>
            <w:r w:rsidRPr="00DE085C">
              <w:t>-2.8</w:t>
            </w:r>
          </w:p>
        </w:tc>
      </w:tr>
      <w:tr w:rsidR="00607D93" w:rsidRPr="001F1F3C" w14:paraId="4A7911AB" w14:textId="77777777" w:rsidTr="00607D93">
        <w:trPr>
          <w:trHeight w:val="228"/>
        </w:trPr>
        <w:tc>
          <w:tcPr>
            <w:tcW w:w="1645" w:type="pct"/>
            <w:shd w:val="clear" w:color="auto" w:fill="CAE7F3"/>
            <w:noWrap/>
            <w:hideMark/>
          </w:tcPr>
          <w:p w14:paraId="1D6FEF33" w14:textId="65030AB3" w:rsidR="00607D93" w:rsidRPr="001F1F3C" w:rsidRDefault="00607D93" w:rsidP="00607D93">
            <w:pPr>
              <w:pStyle w:val="Tabletext"/>
              <w:rPr>
                <w:color w:val="595A5B" w:themeColor="text2"/>
                <w:lang w:eastAsia="en-AU"/>
              </w:rPr>
            </w:pPr>
            <w:r w:rsidRPr="00DE085C">
              <w:t>LPG</w:t>
            </w:r>
          </w:p>
        </w:tc>
        <w:tc>
          <w:tcPr>
            <w:tcW w:w="721" w:type="pct"/>
            <w:shd w:val="clear" w:color="auto" w:fill="CAE7F3"/>
            <w:noWrap/>
          </w:tcPr>
          <w:p w14:paraId="6A383F3B" w14:textId="40BE6F3C" w:rsidR="00607D93" w:rsidRPr="001F1F3C" w:rsidRDefault="00607D93" w:rsidP="00607D93">
            <w:pPr>
              <w:pStyle w:val="Tabletext"/>
              <w:jc w:val="right"/>
              <w:rPr>
                <w:color w:val="595A5B" w:themeColor="text2"/>
                <w:lang w:eastAsia="en-AU"/>
              </w:rPr>
            </w:pPr>
            <w:r w:rsidRPr="00DE085C">
              <w:t xml:space="preserve"> 27.1</w:t>
            </w:r>
          </w:p>
        </w:tc>
        <w:tc>
          <w:tcPr>
            <w:tcW w:w="719" w:type="pct"/>
            <w:shd w:val="clear" w:color="auto" w:fill="CAE7F3"/>
            <w:noWrap/>
          </w:tcPr>
          <w:p w14:paraId="0ADEB41F" w14:textId="64BE3473" w:rsidR="00607D93" w:rsidRPr="001F1F3C" w:rsidRDefault="00607D93" w:rsidP="00607D93">
            <w:pPr>
              <w:pStyle w:val="Tabletext"/>
              <w:jc w:val="right"/>
              <w:rPr>
                <w:color w:val="595A5B" w:themeColor="text2"/>
                <w:lang w:eastAsia="en-AU"/>
              </w:rPr>
            </w:pPr>
            <w:r w:rsidRPr="00DE085C">
              <w:t xml:space="preserve"> 1.2</w:t>
            </w:r>
          </w:p>
        </w:tc>
        <w:tc>
          <w:tcPr>
            <w:tcW w:w="308" w:type="pct"/>
            <w:shd w:val="clear" w:color="auto" w:fill="CAE7F3"/>
            <w:noWrap/>
          </w:tcPr>
          <w:p w14:paraId="1CB0BC24" w14:textId="77777777" w:rsidR="00607D93" w:rsidRPr="001F1F3C" w:rsidRDefault="00607D93" w:rsidP="00607D93">
            <w:pPr>
              <w:pStyle w:val="Tabletext"/>
              <w:jc w:val="right"/>
              <w:rPr>
                <w:color w:val="595A5B" w:themeColor="text2"/>
                <w:lang w:eastAsia="en-AU"/>
              </w:rPr>
            </w:pPr>
          </w:p>
        </w:tc>
        <w:tc>
          <w:tcPr>
            <w:tcW w:w="783" w:type="pct"/>
            <w:shd w:val="clear" w:color="auto" w:fill="CAE7F3"/>
            <w:noWrap/>
          </w:tcPr>
          <w:p w14:paraId="432E715E" w14:textId="6FEF0FF1" w:rsidR="00607D93" w:rsidRPr="001F1F3C" w:rsidRDefault="00607D93" w:rsidP="00607D93">
            <w:pPr>
              <w:pStyle w:val="Tabletext"/>
              <w:jc w:val="right"/>
              <w:rPr>
                <w:color w:val="595A5B" w:themeColor="text2"/>
                <w:lang w:eastAsia="en-AU"/>
              </w:rPr>
            </w:pPr>
            <w:r w:rsidRPr="00DE085C">
              <w:t xml:space="preserve"> 9.2</w:t>
            </w:r>
          </w:p>
        </w:tc>
        <w:tc>
          <w:tcPr>
            <w:tcW w:w="824" w:type="pct"/>
            <w:shd w:val="clear" w:color="auto" w:fill="CAE7F3"/>
            <w:noWrap/>
          </w:tcPr>
          <w:p w14:paraId="67BFF724" w14:textId="41438D88" w:rsidR="00607D93" w:rsidRPr="001F1F3C" w:rsidRDefault="00607D93" w:rsidP="00607D93">
            <w:pPr>
              <w:pStyle w:val="Tabletext"/>
              <w:jc w:val="right"/>
              <w:rPr>
                <w:color w:val="595A5B" w:themeColor="text2"/>
                <w:lang w:eastAsia="en-AU"/>
              </w:rPr>
            </w:pPr>
            <w:r w:rsidRPr="00DE085C">
              <w:t xml:space="preserve"> 0.4</w:t>
            </w:r>
          </w:p>
        </w:tc>
      </w:tr>
      <w:tr w:rsidR="00607D93" w:rsidRPr="001F1F3C" w14:paraId="55E5534E" w14:textId="77777777" w:rsidTr="00607D93">
        <w:trPr>
          <w:trHeight w:val="228"/>
        </w:trPr>
        <w:tc>
          <w:tcPr>
            <w:tcW w:w="1645" w:type="pct"/>
            <w:shd w:val="clear" w:color="auto" w:fill="CAE7F3"/>
            <w:noWrap/>
            <w:hideMark/>
          </w:tcPr>
          <w:p w14:paraId="21A7B50C" w14:textId="57997358" w:rsidR="00607D93" w:rsidRPr="001F1F3C" w:rsidRDefault="00607D93" w:rsidP="00607D93">
            <w:pPr>
              <w:pStyle w:val="Tabletext"/>
              <w:rPr>
                <w:color w:val="595A5B" w:themeColor="text2"/>
                <w:lang w:eastAsia="en-AU"/>
              </w:rPr>
            </w:pPr>
            <w:r w:rsidRPr="00DE085C">
              <w:t>Refined products</w:t>
            </w:r>
          </w:p>
        </w:tc>
        <w:tc>
          <w:tcPr>
            <w:tcW w:w="721" w:type="pct"/>
            <w:shd w:val="clear" w:color="auto" w:fill="CAE7F3"/>
            <w:noWrap/>
          </w:tcPr>
          <w:p w14:paraId="39D964BA" w14:textId="49D71D4F" w:rsidR="00607D93" w:rsidRPr="001F1F3C" w:rsidRDefault="00607D93" w:rsidP="00F257F0">
            <w:pPr>
              <w:pStyle w:val="Tabletext"/>
              <w:jc w:val="right"/>
              <w:rPr>
                <w:color w:val="595A5B" w:themeColor="text2"/>
                <w:lang w:eastAsia="en-AU"/>
              </w:rPr>
            </w:pPr>
            <w:r w:rsidRPr="00DE085C">
              <w:t>1</w:t>
            </w:r>
            <w:r w:rsidR="00F257F0">
              <w:t>,</w:t>
            </w:r>
            <w:r w:rsidRPr="00DE085C">
              <w:t>290.5</w:t>
            </w:r>
          </w:p>
        </w:tc>
        <w:tc>
          <w:tcPr>
            <w:tcW w:w="719" w:type="pct"/>
            <w:shd w:val="clear" w:color="auto" w:fill="CAE7F3"/>
            <w:noWrap/>
          </w:tcPr>
          <w:p w14:paraId="63FA0577" w14:textId="32D75EA7" w:rsidR="00607D93" w:rsidRPr="001F1F3C" w:rsidRDefault="00607D93" w:rsidP="00607D93">
            <w:pPr>
              <w:pStyle w:val="Tabletext"/>
              <w:jc w:val="right"/>
              <w:rPr>
                <w:color w:val="595A5B" w:themeColor="text2"/>
                <w:lang w:eastAsia="en-AU"/>
              </w:rPr>
            </w:pPr>
            <w:r w:rsidRPr="00DE085C">
              <w:t xml:space="preserve"> 55.5</w:t>
            </w:r>
          </w:p>
        </w:tc>
        <w:tc>
          <w:tcPr>
            <w:tcW w:w="308" w:type="pct"/>
            <w:shd w:val="clear" w:color="auto" w:fill="CAE7F3"/>
            <w:noWrap/>
          </w:tcPr>
          <w:p w14:paraId="09B09487" w14:textId="77777777" w:rsidR="00607D93" w:rsidRPr="001F1F3C" w:rsidRDefault="00607D93" w:rsidP="00607D93">
            <w:pPr>
              <w:pStyle w:val="Tabletext"/>
              <w:jc w:val="right"/>
              <w:rPr>
                <w:color w:val="595A5B" w:themeColor="text2"/>
                <w:lang w:eastAsia="en-AU"/>
              </w:rPr>
            </w:pPr>
          </w:p>
        </w:tc>
        <w:tc>
          <w:tcPr>
            <w:tcW w:w="783" w:type="pct"/>
            <w:shd w:val="clear" w:color="auto" w:fill="CAE7F3"/>
            <w:noWrap/>
          </w:tcPr>
          <w:p w14:paraId="563EC0E7" w14:textId="0B56F667" w:rsidR="00607D93" w:rsidRPr="001F1F3C" w:rsidRDefault="00607D93" w:rsidP="00607D93">
            <w:pPr>
              <w:pStyle w:val="Tabletext"/>
              <w:jc w:val="right"/>
              <w:rPr>
                <w:color w:val="595A5B" w:themeColor="text2"/>
                <w:lang w:eastAsia="en-AU"/>
              </w:rPr>
            </w:pPr>
            <w:r w:rsidRPr="00DE085C">
              <w:t xml:space="preserve"> 3.9</w:t>
            </w:r>
          </w:p>
        </w:tc>
        <w:tc>
          <w:tcPr>
            <w:tcW w:w="824" w:type="pct"/>
            <w:shd w:val="clear" w:color="auto" w:fill="CAE7F3"/>
            <w:noWrap/>
          </w:tcPr>
          <w:p w14:paraId="407B5128" w14:textId="223776B5" w:rsidR="00607D93" w:rsidRPr="001F1F3C" w:rsidRDefault="00607D93" w:rsidP="00607D93">
            <w:pPr>
              <w:pStyle w:val="Tabletext"/>
              <w:jc w:val="right"/>
              <w:rPr>
                <w:color w:val="595A5B" w:themeColor="text2"/>
                <w:lang w:eastAsia="en-AU"/>
              </w:rPr>
            </w:pPr>
            <w:r w:rsidRPr="00DE085C">
              <w:t xml:space="preserve"> 8.3</w:t>
            </w:r>
          </w:p>
        </w:tc>
      </w:tr>
      <w:tr w:rsidR="00607D93" w:rsidRPr="001F1F3C" w14:paraId="160AD2E6" w14:textId="77777777" w:rsidTr="00607D93">
        <w:trPr>
          <w:trHeight w:val="228"/>
        </w:trPr>
        <w:tc>
          <w:tcPr>
            <w:tcW w:w="1645" w:type="pct"/>
            <w:shd w:val="clear" w:color="auto" w:fill="CAE7F3"/>
            <w:noWrap/>
            <w:hideMark/>
          </w:tcPr>
          <w:p w14:paraId="59B9C721" w14:textId="44D1B474" w:rsidR="00607D93" w:rsidRPr="001F1F3C" w:rsidRDefault="00607D93" w:rsidP="00607D93">
            <w:pPr>
              <w:pStyle w:val="Tabletext"/>
              <w:rPr>
                <w:color w:val="595A5B" w:themeColor="text2"/>
                <w:lang w:eastAsia="en-AU"/>
              </w:rPr>
            </w:pPr>
            <w:r w:rsidRPr="00DE085C">
              <w:t>Natural gas</w:t>
            </w:r>
          </w:p>
        </w:tc>
        <w:tc>
          <w:tcPr>
            <w:tcW w:w="721" w:type="pct"/>
            <w:shd w:val="clear" w:color="auto" w:fill="CAE7F3"/>
            <w:noWrap/>
          </w:tcPr>
          <w:p w14:paraId="47191720" w14:textId="3C04908C" w:rsidR="00607D93" w:rsidRPr="001F1F3C" w:rsidRDefault="00607D93" w:rsidP="00607D93">
            <w:pPr>
              <w:pStyle w:val="Tabletext"/>
              <w:jc w:val="right"/>
              <w:rPr>
                <w:color w:val="595A5B" w:themeColor="text2"/>
                <w:lang w:eastAsia="en-AU"/>
              </w:rPr>
            </w:pPr>
            <w:r w:rsidRPr="00DE085C">
              <w:t xml:space="preserve"> 216.7</w:t>
            </w:r>
          </w:p>
        </w:tc>
        <w:tc>
          <w:tcPr>
            <w:tcW w:w="719" w:type="pct"/>
            <w:shd w:val="clear" w:color="auto" w:fill="CAE7F3"/>
            <w:noWrap/>
          </w:tcPr>
          <w:p w14:paraId="2899142C" w14:textId="162A0C80" w:rsidR="00607D93" w:rsidRPr="001F1F3C" w:rsidRDefault="00607D93" w:rsidP="00607D93">
            <w:pPr>
              <w:pStyle w:val="Tabletext"/>
              <w:jc w:val="right"/>
              <w:rPr>
                <w:color w:val="595A5B" w:themeColor="text2"/>
                <w:lang w:eastAsia="en-AU"/>
              </w:rPr>
            </w:pPr>
            <w:r w:rsidRPr="00DE085C">
              <w:t xml:space="preserve"> 9.3</w:t>
            </w:r>
          </w:p>
        </w:tc>
        <w:tc>
          <w:tcPr>
            <w:tcW w:w="308" w:type="pct"/>
            <w:shd w:val="clear" w:color="auto" w:fill="CAE7F3"/>
            <w:noWrap/>
          </w:tcPr>
          <w:p w14:paraId="13A7A4E5" w14:textId="77777777" w:rsidR="00607D93" w:rsidRPr="001F1F3C" w:rsidRDefault="00607D93" w:rsidP="00607D93">
            <w:pPr>
              <w:pStyle w:val="Tabletext"/>
              <w:jc w:val="right"/>
              <w:rPr>
                <w:color w:val="595A5B" w:themeColor="text2"/>
                <w:lang w:eastAsia="en-AU"/>
              </w:rPr>
            </w:pPr>
          </w:p>
        </w:tc>
        <w:tc>
          <w:tcPr>
            <w:tcW w:w="783" w:type="pct"/>
            <w:shd w:val="clear" w:color="auto" w:fill="CAE7F3"/>
            <w:noWrap/>
          </w:tcPr>
          <w:p w14:paraId="216D8E8E" w14:textId="2BEB999B" w:rsidR="00607D93" w:rsidRPr="001F1F3C" w:rsidRDefault="00607D93">
            <w:pPr>
              <w:pStyle w:val="Tabletext"/>
              <w:jc w:val="right"/>
              <w:rPr>
                <w:color w:val="595A5B" w:themeColor="text2"/>
                <w:lang w:eastAsia="en-AU"/>
              </w:rPr>
            </w:pPr>
            <w:r w:rsidRPr="00DE085C">
              <w:t>-9.1</w:t>
            </w:r>
          </w:p>
        </w:tc>
        <w:tc>
          <w:tcPr>
            <w:tcW w:w="824" w:type="pct"/>
            <w:shd w:val="clear" w:color="auto" w:fill="CAE7F3"/>
            <w:noWrap/>
          </w:tcPr>
          <w:p w14:paraId="03029B42" w14:textId="08708DA7" w:rsidR="00607D93" w:rsidRPr="001F1F3C" w:rsidRDefault="00607D93" w:rsidP="00607D93">
            <w:pPr>
              <w:pStyle w:val="Tabletext"/>
              <w:jc w:val="right"/>
              <w:rPr>
                <w:color w:val="595A5B" w:themeColor="text2"/>
                <w:lang w:eastAsia="en-AU"/>
              </w:rPr>
            </w:pPr>
            <w:r w:rsidRPr="00DE085C">
              <w:t xml:space="preserve"> 0.6</w:t>
            </w:r>
          </w:p>
        </w:tc>
      </w:tr>
      <w:tr w:rsidR="00607D93" w:rsidRPr="001F1F3C" w14:paraId="263270AE" w14:textId="77777777" w:rsidTr="00607D93">
        <w:trPr>
          <w:trHeight w:val="228"/>
        </w:trPr>
        <w:tc>
          <w:tcPr>
            <w:tcW w:w="1645" w:type="pct"/>
            <w:shd w:val="clear" w:color="auto" w:fill="CAE7F3"/>
            <w:noWrap/>
            <w:hideMark/>
          </w:tcPr>
          <w:p w14:paraId="38498392" w14:textId="60F6F7F0" w:rsidR="00607D93" w:rsidRPr="001F1F3C" w:rsidRDefault="00607D93" w:rsidP="00607D93">
            <w:pPr>
              <w:pStyle w:val="Tabletext"/>
              <w:rPr>
                <w:color w:val="595A5B" w:themeColor="text2"/>
                <w:lang w:eastAsia="en-AU"/>
              </w:rPr>
            </w:pPr>
            <w:r w:rsidRPr="00DE085C">
              <w:t>Coal and coal byproducts</w:t>
            </w:r>
          </w:p>
        </w:tc>
        <w:tc>
          <w:tcPr>
            <w:tcW w:w="721" w:type="pct"/>
            <w:shd w:val="clear" w:color="auto" w:fill="CAE7F3"/>
            <w:noWrap/>
          </w:tcPr>
          <w:p w14:paraId="7749437D" w14:textId="7D929BD5" w:rsidR="00607D93" w:rsidRPr="001F1F3C" w:rsidRDefault="00607D93" w:rsidP="00607D93">
            <w:pPr>
              <w:pStyle w:val="Tabletext"/>
              <w:jc w:val="right"/>
              <w:rPr>
                <w:color w:val="595A5B" w:themeColor="text2"/>
                <w:lang w:eastAsia="en-AU"/>
              </w:rPr>
            </w:pPr>
            <w:r w:rsidRPr="00DE085C">
              <w:t xml:space="preserve"> 5.0</w:t>
            </w:r>
          </w:p>
        </w:tc>
        <w:tc>
          <w:tcPr>
            <w:tcW w:w="719" w:type="pct"/>
            <w:shd w:val="clear" w:color="auto" w:fill="CAE7F3"/>
            <w:noWrap/>
          </w:tcPr>
          <w:p w14:paraId="50AF0F3D" w14:textId="7C713EEC" w:rsidR="00607D93" w:rsidRPr="001F1F3C" w:rsidRDefault="00607D93" w:rsidP="00607D93">
            <w:pPr>
              <w:pStyle w:val="Tabletext"/>
              <w:jc w:val="right"/>
              <w:rPr>
                <w:color w:val="595A5B" w:themeColor="text2"/>
                <w:lang w:eastAsia="en-AU"/>
              </w:rPr>
            </w:pPr>
            <w:r w:rsidRPr="00DE085C">
              <w:t xml:space="preserve"> 0.2</w:t>
            </w:r>
          </w:p>
        </w:tc>
        <w:tc>
          <w:tcPr>
            <w:tcW w:w="308" w:type="pct"/>
            <w:shd w:val="clear" w:color="auto" w:fill="CAE7F3"/>
            <w:noWrap/>
          </w:tcPr>
          <w:p w14:paraId="66E888AD" w14:textId="77777777" w:rsidR="00607D93" w:rsidRPr="001F1F3C" w:rsidRDefault="00607D93" w:rsidP="00607D93">
            <w:pPr>
              <w:pStyle w:val="Tabletext"/>
              <w:jc w:val="right"/>
              <w:rPr>
                <w:color w:val="595A5B" w:themeColor="text2"/>
                <w:lang w:eastAsia="en-AU"/>
              </w:rPr>
            </w:pPr>
          </w:p>
        </w:tc>
        <w:tc>
          <w:tcPr>
            <w:tcW w:w="783" w:type="pct"/>
            <w:shd w:val="clear" w:color="auto" w:fill="CAE7F3"/>
            <w:noWrap/>
          </w:tcPr>
          <w:p w14:paraId="01D035CF" w14:textId="2C8A3E09" w:rsidR="00607D93" w:rsidRPr="001F1F3C" w:rsidRDefault="00607D93">
            <w:pPr>
              <w:pStyle w:val="Tabletext"/>
              <w:jc w:val="right"/>
              <w:rPr>
                <w:color w:val="595A5B" w:themeColor="text2"/>
                <w:lang w:eastAsia="en-AU"/>
              </w:rPr>
            </w:pPr>
            <w:r w:rsidRPr="00DE085C">
              <w:t>-16.5</w:t>
            </w:r>
          </w:p>
        </w:tc>
        <w:tc>
          <w:tcPr>
            <w:tcW w:w="824" w:type="pct"/>
            <w:shd w:val="clear" w:color="auto" w:fill="CAE7F3"/>
            <w:noWrap/>
          </w:tcPr>
          <w:p w14:paraId="2BACFB53" w14:textId="4E7A9AD6" w:rsidR="00607D93" w:rsidRPr="001F1F3C" w:rsidRDefault="00607D93" w:rsidP="00607D93">
            <w:pPr>
              <w:pStyle w:val="Tabletext"/>
              <w:jc w:val="right"/>
              <w:rPr>
                <w:color w:val="595A5B" w:themeColor="text2"/>
                <w:lang w:eastAsia="en-AU"/>
              </w:rPr>
            </w:pPr>
            <w:r w:rsidRPr="00DE085C">
              <w:t xml:space="preserve"> 41.5</w:t>
            </w:r>
          </w:p>
        </w:tc>
      </w:tr>
      <w:tr w:rsidR="00607D93" w:rsidRPr="00F257F0" w14:paraId="5121C891" w14:textId="77777777" w:rsidTr="00607D93">
        <w:trPr>
          <w:trHeight w:val="240"/>
        </w:trPr>
        <w:tc>
          <w:tcPr>
            <w:tcW w:w="1645" w:type="pct"/>
            <w:shd w:val="clear" w:color="auto" w:fill="CAE7F3"/>
            <w:noWrap/>
            <w:hideMark/>
          </w:tcPr>
          <w:p w14:paraId="78197F4D" w14:textId="5092ED17" w:rsidR="00607D93" w:rsidRPr="00F257F0" w:rsidRDefault="00607D93" w:rsidP="00607D93">
            <w:pPr>
              <w:pStyle w:val="Tabletext"/>
              <w:rPr>
                <w:b/>
                <w:bCs/>
                <w:color w:val="595A5B" w:themeColor="text2"/>
                <w:lang w:eastAsia="en-AU"/>
              </w:rPr>
            </w:pPr>
            <w:r w:rsidRPr="00F257F0">
              <w:rPr>
                <w:b/>
              </w:rPr>
              <w:t>Total</w:t>
            </w:r>
          </w:p>
        </w:tc>
        <w:tc>
          <w:tcPr>
            <w:tcW w:w="721" w:type="pct"/>
            <w:shd w:val="clear" w:color="auto" w:fill="CAE7F3"/>
            <w:noWrap/>
          </w:tcPr>
          <w:p w14:paraId="0535A0BE" w14:textId="08746CBC" w:rsidR="00607D93" w:rsidRPr="00F257F0" w:rsidRDefault="00607D93" w:rsidP="00F257F0">
            <w:pPr>
              <w:pStyle w:val="Tabletext"/>
              <w:jc w:val="right"/>
              <w:rPr>
                <w:b/>
                <w:color w:val="595A5B" w:themeColor="text2"/>
                <w:lang w:eastAsia="en-AU"/>
              </w:rPr>
            </w:pPr>
            <w:r w:rsidRPr="00F257F0">
              <w:rPr>
                <w:b/>
              </w:rPr>
              <w:t>2</w:t>
            </w:r>
            <w:r w:rsidR="00F257F0">
              <w:rPr>
                <w:b/>
              </w:rPr>
              <w:t>,</w:t>
            </w:r>
            <w:r w:rsidRPr="00F257F0">
              <w:rPr>
                <w:b/>
              </w:rPr>
              <w:t>327.0</w:t>
            </w:r>
          </w:p>
        </w:tc>
        <w:tc>
          <w:tcPr>
            <w:tcW w:w="719" w:type="pct"/>
            <w:shd w:val="clear" w:color="auto" w:fill="CAE7F3"/>
            <w:noWrap/>
          </w:tcPr>
          <w:p w14:paraId="75643E8F" w14:textId="6CD6273A" w:rsidR="00607D93" w:rsidRPr="00F257F0" w:rsidRDefault="00607D93" w:rsidP="00607D93">
            <w:pPr>
              <w:pStyle w:val="Tabletext"/>
              <w:jc w:val="right"/>
              <w:rPr>
                <w:b/>
                <w:color w:val="595A5B" w:themeColor="text2"/>
                <w:lang w:eastAsia="en-AU"/>
              </w:rPr>
            </w:pPr>
            <w:r w:rsidRPr="00F257F0">
              <w:rPr>
                <w:b/>
              </w:rPr>
              <w:t xml:space="preserve"> 100.0</w:t>
            </w:r>
          </w:p>
        </w:tc>
        <w:tc>
          <w:tcPr>
            <w:tcW w:w="308" w:type="pct"/>
            <w:shd w:val="clear" w:color="auto" w:fill="CAE7F3"/>
            <w:noWrap/>
          </w:tcPr>
          <w:p w14:paraId="21C0F43B" w14:textId="2201C591" w:rsidR="00607D93" w:rsidRPr="00F257F0" w:rsidRDefault="00607D93" w:rsidP="00607D93">
            <w:pPr>
              <w:pStyle w:val="Tabletext"/>
              <w:jc w:val="right"/>
              <w:rPr>
                <w:b/>
                <w:color w:val="595A5B" w:themeColor="text2"/>
                <w:lang w:eastAsia="en-AU"/>
              </w:rPr>
            </w:pPr>
          </w:p>
        </w:tc>
        <w:tc>
          <w:tcPr>
            <w:tcW w:w="783" w:type="pct"/>
            <w:shd w:val="clear" w:color="auto" w:fill="CAE7F3"/>
            <w:noWrap/>
          </w:tcPr>
          <w:p w14:paraId="02662DB7" w14:textId="6EABD17B" w:rsidR="00607D93" w:rsidRPr="00F257F0" w:rsidRDefault="00607D93" w:rsidP="00607D93">
            <w:pPr>
              <w:pStyle w:val="Tabletext"/>
              <w:jc w:val="right"/>
              <w:rPr>
                <w:b/>
                <w:color w:val="595A5B" w:themeColor="text2"/>
                <w:lang w:eastAsia="en-AU"/>
              </w:rPr>
            </w:pPr>
            <w:r w:rsidRPr="00F257F0">
              <w:rPr>
                <w:b/>
              </w:rPr>
              <w:t xml:space="preserve"> 2.1</w:t>
            </w:r>
          </w:p>
        </w:tc>
        <w:tc>
          <w:tcPr>
            <w:tcW w:w="824" w:type="pct"/>
            <w:shd w:val="clear" w:color="auto" w:fill="CAE7F3"/>
            <w:noWrap/>
          </w:tcPr>
          <w:p w14:paraId="24F47463" w14:textId="50904DCC" w:rsidR="00607D93" w:rsidRPr="00F257F0" w:rsidRDefault="00607D93" w:rsidP="00607D93">
            <w:pPr>
              <w:pStyle w:val="Tabletext"/>
              <w:jc w:val="right"/>
              <w:rPr>
                <w:b/>
                <w:color w:val="595A5B" w:themeColor="text2"/>
                <w:lang w:eastAsia="en-AU"/>
              </w:rPr>
            </w:pPr>
            <w:r w:rsidRPr="00F257F0">
              <w:rPr>
                <w:b/>
              </w:rPr>
              <w:t xml:space="preserve"> 2.4</w:t>
            </w:r>
          </w:p>
        </w:tc>
      </w:tr>
    </w:tbl>
    <w:p w14:paraId="181841EA" w14:textId="21E2B0EC" w:rsidR="005660C2" w:rsidRPr="001F1F3C" w:rsidRDefault="005660C2" w:rsidP="005660C2">
      <w:pPr>
        <w:pStyle w:val="Source"/>
        <w:rPr>
          <w:color w:val="595A5B" w:themeColor="text2"/>
        </w:rPr>
      </w:pPr>
      <w:r w:rsidRPr="001F1F3C">
        <w:rPr>
          <w:color w:val="595A5B" w:themeColor="text2"/>
        </w:rPr>
        <w:t xml:space="preserve">Source: </w:t>
      </w:r>
      <w:r w:rsidRPr="001F1F3C">
        <w:rPr>
          <w:color w:val="595A5B" w:themeColor="text2"/>
          <w:szCs w:val="16"/>
        </w:rPr>
        <w:t xml:space="preserve">Department of </w:t>
      </w:r>
      <w:r w:rsidR="005A4AAD" w:rsidRPr="001F1F3C">
        <w:rPr>
          <w:color w:val="595A5B" w:themeColor="text2"/>
          <w:szCs w:val="16"/>
        </w:rPr>
        <w:t>the Environment and Energy</w:t>
      </w:r>
      <w:r w:rsidRPr="001F1F3C">
        <w:rPr>
          <w:color w:val="595A5B" w:themeColor="text2"/>
          <w:szCs w:val="16"/>
        </w:rPr>
        <w:t xml:space="preserve"> (</w:t>
      </w:r>
      <w:r w:rsidR="003F2CCE" w:rsidRPr="001F1F3C">
        <w:rPr>
          <w:color w:val="595A5B" w:themeColor="text2"/>
          <w:szCs w:val="16"/>
        </w:rPr>
        <w:t>2018</w:t>
      </w:r>
      <w:r w:rsidRPr="001F1F3C">
        <w:rPr>
          <w:color w:val="595A5B" w:themeColor="text2"/>
          <w:szCs w:val="16"/>
        </w:rPr>
        <w:t xml:space="preserve">) </w:t>
      </w:r>
      <w:r w:rsidRPr="001F1F3C">
        <w:rPr>
          <w:i/>
          <w:color w:val="595A5B" w:themeColor="text2"/>
          <w:szCs w:val="16"/>
        </w:rPr>
        <w:t>Australian Energy Statistics</w:t>
      </w:r>
      <w:r w:rsidRPr="001F1F3C">
        <w:rPr>
          <w:color w:val="595A5B" w:themeColor="text2"/>
          <w:szCs w:val="16"/>
        </w:rPr>
        <w:t xml:space="preserve">, </w:t>
      </w:r>
      <w:r w:rsidRPr="001F1F3C">
        <w:rPr>
          <w:color w:val="595A5B" w:themeColor="text2"/>
          <w:szCs w:val="16"/>
        </w:rPr>
        <w:br/>
        <w:t>Table J</w:t>
      </w:r>
    </w:p>
    <w:p w14:paraId="004AF066" w14:textId="77777777" w:rsidR="002104AB" w:rsidRDefault="002104AB" w:rsidP="002104AB">
      <w:pPr>
        <w:pStyle w:val="BodyText"/>
      </w:pPr>
      <w:r w:rsidRPr="001F1F3C">
        <w:lastRenderedPageBreak/>
        <w:t xml:space="preserve">Imports of crude oil increased by </w:t>
      </w:r>
      <w:r>
        <w:t>3</w:t>
      </w:r>
      <w:r w:rsidRPr="001F1F3C">
        <w:t xml:space="preserve"> per cent in 2016–17, to 78</w:t>
      </w:r>
      <w:r>
        <w:t>8</w:t>
      </w:r>
      <w:r w:rsidRPr="001F1F3C">
        <w:t xml:space="preserve"> petajoules (around 20 billion litres). Australia imports a relatively large proportion of its refinery feedstocks, with most of Australia’s oil production occurring off the north-west coast, some distance from most domestic refining capacity on the east coast. In addition, domestically produced grades of crude oil are generally not as well suited for use by local refineries as those sourced from other countries. Imports accounted for just under three-quarters of total refinery input in 2016–17</w:t>
      </w:r>
      <w:r>
        <w:t xml:space="preserve"> (Figure 4.5)</w:t>
      </w:r>
      <w:r w:rsidRPr="001F1F3C">
        <w:t>.</w:t>
      </w:r>
    </w:p>
    <w:p w14:paraId="294D770F" w14:textId="2C8F68FE" w:rsidR="00693E60" w:rsidRPr="001F1F3C" w:rsidRDefault="00693E60" w:rsidP="00693E60">
      <w:pPr>
        <w:pStyle w:val="BodyText"/>
      </w:pPr>
      <w:r w:rsidRPr="001F1F3C">
        <w:t xml:space="preserve">Refined product imports, excluding LPG, </w:t>
      </w:r>
      <w:r w:rsidR="00D2670C">
        <w:t>rose by 4 per cent to</w:t>
      </w:r>
      <w:r w:rsidRPr="001F1F3C">
        <w:t xml:space="preserve"> 1,291 petajoules (ar</w:t>
      </w:r>
      <w:r w:rsidR="00693A88">
        <w:t>ound 35 billion litres)</w:t>
      </w:r>
      <w:r w:rsidR="00D2670C">
        <w:t xml:space="preserve"> in 2016–17</w:t>
      </w:r>
      <w:r w:rsidRPr="001F1F3C">
        <w:t>. This continues the longer</w:t>
      </w:r>
      <w:r w:rsidRPr="001F1F3C">
        <w:noBreakHyphen/>
        <w:t>term trend towards imported refined products,</w:t>
      </w:r>
      <w:r w:rsidR="00D2670C">
        <w:t xml:space="preserve"> following the closure of several domestic refineries.</w:t>
      </w:r>
      <w:r w:rsidRPr="001F1F3C">
        <w:t xml:space="preserve"> </w:t>
      </w:r>
      <w:r w:rsidR="00D2670C">
        <w:t>Imported products</w:t>
      </w:r>
      <w:r w:rsidRPr="001F1F3C">
        <w:t xml:space="preserve"> now account for around 5</w:t>
      </w:r>
      <w:r w:rsidR="00A84085">
        <w:t>4</w:t>
      </w:r>
      <w:r w:rsidRPr="001F1F3C">
        <w:t xml:space="preserve"> per cent of total refined product consumption. </w:t>
      </w:r>
    </w:p>
    <w:p w14:paraId="4D9F3FA6" w14:textId="3F8FD4D9" w:rsidR="001F4600" w:rsidRPr="001F1F3C" w:rsidRDefault="00C1400E" w:rsidP="00082FE6">
      <w:pPr>
        <w:pStyle w:val="Caption"/>
        <w:ind w:left="-1985"/>
      </w:pPr>
      <w:bookmarkStart w:id="179" w:name="_Toc522198896"/>
      <w:bookmarkStart w:id="180" w:name="_Toc522199916"/>
      <w:bookmarkStart w:id="181" w:name="_Toc523777434"/>
      <w:r>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4</w:t>
      </w:r>
      <w:r w:rsidR="00941B67">
        <w:rPr>
          <w:noProof/>
        </w:rPr>
        <w:fldChar w:fldCharType="end"/>
      </w:r>
      <w:r w:rsidR="003348D2">
        <w:t>.</w:t>
      </w:r>
      <w:r w:rsidR="00941B67">
        <w:rPr>
          <w:noProof/>
        </w:rPr>
        <w:fldChar w:fldCharType="begin"/>
      </w:r>
      <w:r w:rsidR="00941B67">
        <w:rPr>
          <w:noProof/>
        </w:rPr>
        <w:instrText xml:space="preserve"> SEQ Figure \* ARABIC \s 1 </w:instrText>
      </w:r>
      <w:r w:rsidR="00941B67">
        <w:rPr>
          <w:noProof/>
        </w:rPr>
        <w:fldChar w:fldCharType="separate"/>
      </w:r>
      <w:r w:rsidR="002104AB">
        <w:rPr>
          <w:noProof/>
        </w:rPr>
        <w:t>4</w:t>
      </w:r>
      <w:r w:rsidR="00941B67">
        <w:rPr>
          <w:noProof/>
        </w:rPr>
        <w:fldChar w:fldCharType="end"/>
      </w:r>
      <w:r>
        <w:t xml:space="preserve">: </w:t>
      </w:r>
      <w:r w:rsidR="001F4600" w:rsidRPr="001F1F3C">
        <w:t>Australian energy imports, by fuel type</w:t>
      </w:r>
      <w:bookmarkEnd w:id="179"/>
      <w:bookmarkEnd w:id="180"/>
      <w:bookmarkEnd w:id="181"/>
    </w:p>
    <w:tbl>
      <w:tblPr>
        <w:tblStyle w:val="OCETable"/>
        <w:tblW w:w="6379" w:type="pct"/>
        <w:tblInd w:w="-1877" w:type="dxa"/>
        <w:tblLayout w:type="fixed"/>
        <w:tblLook w:val="04A0" w:firstRow="1" w:lastRow="0" w:firstColumn="1" w:lastColumn="0" w:noHBand="0" w:noVBand="1"/>
        <w:tblCaption w:val="Placeholder obejct only"/>
      </w:tblPr>
      <w:tblGrid>
        <w:gridCol w:w="8795"/>
      </w:tblGrid>
      <w:tr w:rsidR="001F4600" w:rsidRPr="001F1F3C" w14:paraId="1C3644E8" w14:textId="77777777" w:rsidTr="007573EC">
        <w:trPr>
          <w:cnfStyle w:val="100000000000" w:firstRow="1" w:lastRow="0" w:firstColumn="0" w:lastColumn="0" w:oddVBand="0" w:evenVBand="0" w:oddHBand="0" w:evenHBand="0" w:firstRowFirstColumn="0" w:firstRowLastColumn="0" w:lastRowFirstColumn="0" w:lastRowLastColumn="0"/>
          <w:tblHeader/>
        </w:trPr>
        <w:tc>
          <w:tcPr>
            <w:tcW w:w="8795" w:type="dxa"/>
            <w:shd w:val="clear" w:color="auto" w:fill="auto"/>
          </w:tcPr>
          <w:p w14:paraId="3C3018DA" w14:textId="5EEED05E" w:rsidR="001F4600" w:rsidRPr="001F1F3C" w:rsidRDefault="007675A7" w:rsidP="00CE20B0">
            <w:pPr>
              <w:pStyle w:val="PlaceholderWide"/>
              <w:ind w:left="-1985"/>
              <w:jc w:val="right"/>
            </w:pPr>
            <w:r>
              <w:rPr>
                <w:noProof/>
                <w:lang w:eastAsia="en-AU"/>
              </w:rPr>
              <w:drawing>
                <wp:inline distT="0" distB="0" distL="0" distR="0" wp14:anchorId="4144ADF2" wp14:editId="050096E8">
                  <wp:extent cx="5407660" cy="3249295"/>
                  <wp:effectExtent l="0" t="0" r="2540" b="8255"/>
                  <wp:docPr id="1567786" name="Picture 1567786" descr="The figure shows Australian energy imports by fuel type in petajoules from 1976-77 to 2016-17&#10;" title="Figure 4.4: Australian energy imports, by fuel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7660" cy="3249295"/>
                          </a:xfrm>
                          <a:prstGeom prst="rect">
                            <a:avLst/>
                          </a:prstGeom>
                          <a:noFill/>
                        </pic:spPr>
                      </pic:pic>
                    </a:graphicData>
                  </a:graphic>
                </wp:inline>
              </w:drawing>
            </w:r>
          </w:p>
        </w:tc>
      </w:tr>
    </w:tbl>
    <w:p w14:paraId="68FE265C" w14:textId="5FFE0AF8" w:rsidR="001F4600" w:rsidRDefault="001F4600" w:rsidP="001F4600">
      <w:pPr>
        <w:pStyle w:val="SourceWide"/>
        <w:rPr>
          <w:color w:val="595A5B" w:themeColor="text2"/>
          <w:szCs w:val="16"/>
        </w:rPr>
      </w:pPr>
      <w:r w:rsidRPr="001F1F3C">
        <w:rPr>
          <w:color w:val="595A5B" w:themeColor="text2"/>
        </w:rPr>
        <w:t xml:space="preserve">Source: </w:t>
      </w:r>
      <w:r w:rsidRPr="001F1F3C">
        <w:rPr>
          <w:color w:val="595A5B" w:themeColor="text2"/>
          <w:szCs w:val="16"/>
        </w:rPr>
        <w:t xml:space="preserve">Department of </w:t>
      </w:r>
      <w:r w:rsidR="005A4AAD" w:rsidRPr="001F1F3C">
        <w:rPr>
          <w:color w:val="595A5B" w:themeColor="text2"/>
          <w:szCs w:val="16"/>
        </w:rPr>
        <w:t>the Environment and Energy</w:t>
      </w:r>
      <w:r w:rsidRPr="001F1F3C">
        <w:rPr>
          <w:color w:val="595A5B" w:themeColor="text2"/>
          <w:szCs w:val="16"/>
        </w:rPr>
        <w:t xml:space="preserve"> (</w:t>
      </w:r>
      <w:r w:rsidR="003F2CCE" w:rsidRPr="001F1F3C">
        <w:rPr>
          <w:color w:val="595A5B" w:themeColor="text2"/>
          <w:szCs w:val="16"/>
        </w:rPr>
        <w:t>2018</w:t>
      </w:r>
      <w:r w:rsidRPr="001F1F3C">
        <w:rPr>
          <w:color w:val="595A5B" w:themeColor="text2"/>
          <w:szCs w:val="16"/>
        </w:rPr>
        <w:t xml:space="preserve">) </w:t>
      </w:r>
      <w:r w:rsidRPr="001F1F3C">
        <w:rPr>
          <w:i/>
          <w:color w:val="595A5B" w:themeColor="text2"/>
          <w:szCs w:val="16"/>
        </w:rPr>
        <w:t>Australian Energy Statistics</w:t>
      </w:r>
      <w:r w:rsidRPr="001F1F3C">
        <w:rPr>
          <w:color w:val="595A5B" w:themeColor="text2"/>
          <w:szCs w:val="16"/>
        </w:rPr>
        <w:t>, Table J</w:t>
      </w:r>
    </w:p>
    <w:p w14:paraId="0E75BCC8" w14:textId="77777777" w:rsidR="006837BC" w:rsidRPr="006837BC" w:rsidRDefault="006837BC" w:rsidP="006837BC">
      <w:pPr>
        <w:pStyle w:val="BodyText"/>
        <w:rPr>
          <w:lang w:val="en"/>
        </w:rPr>
      </w:pPr>
    </w:p>
    <w:p w14:paraId="79128C75" w14:textId="4C504BDF" w:rsidR="001F4600" w:rsidRPr="001F1F3C" w:rsidRDefault="00C1400E" w:rsidP="00082FE6">
      <w:pPr>
        <w:pStyle w:val="Caption"/>
        <w:ind w:left="-1985"/>
      </w:pPr>
      <w:bookmarkStart w:id="182" w:name="_Toc522198897"/>
      <w:bookmarkStart w:id="183" w:name="_Toc522199917"/>
      <w:bookmarkStart w:id="184" w:name="_Toc523777435"/>
      <w:r>
        <w:lastRenderedPageBreak/>
        <w:t xml:space="preserve">Figure </w:t>
      </w:r>
      <w:r w:rsidR="00941B67">
        <w:rPr>
          <w:noProof/>
        </w:rPr>
        <w:fldChar w:fldCharType="begin"/>
      </w:r>
      <w:r w:rsidR="00941B67">
        <w:rPr>
          <w:noProof/>
        </w:rPr>
        <w:instrText xml:space="preserve"> STYLEREF 1 \s </w:instrText>
      </w:r>
      <w:r w:rsidR="00941B67">
        <w:rPr>
          <w:noProof/>
        </w:rPr>
        <w:fldChar w:fldCharType="separate"/>
      </w:r>
      <w:r w:rsidR="00D72ABB">
        <w:rPr>
          <w:noProof/>
        </w:rPr>
        <w:t>4</w:t>
      </w:r>
      <w:r w:rsidR="00941B67">
        <w:rPr>
          <w:noProof/>
        </w:rPr>
        <w:fldChar w:fldCharType="end"/>
      </w:r>
      <w:r w:rsidR="003348D2">
        <w:t>.</w:t>
      </w:r>
      <w:r w:rsidR="00941B67">
        <w:rPr>
          <w:noProof/>
        </w:rPr>
        <w:fldChar w:fldCharType="begin"/>
      </w:r>
      <w:r w:rsidR="00941B67">
        <w:rPr>
          <w:noProof/>
        </w:rPr>
        <w:instrText xml:space="preserve"> SEQ Figure \* ARABIC \s 1 </w:instrText>
      </w:r>
      <w:r w:rsidR="00941B67">
        <w:rPr>
          <w:noProof/>
        </w:rPr>
        <w:fldChar w:fldCharType="separate"/>
      </w:r>
      <w:r w:rsidR="002104AB">
        <w:rPr>
          <w:noProof/>
        </w:rPr>
        <w:t>5</w:t>
      </w:r>
      <w:r w:rsidR="00941B67">
        <w:rPr>
          <w:noProof/>
        </w:rPr>
        <w:fldChar w:fldCharType="end"/>
      </w:r>
      <w:r>
        <w:t xml:space="preserve">: </w:t>
      </w:r>
      <w:r w:rsidR="00C407A0" w:rsidRPr="001F1F3C">
        <w:t>Share of imports in total consumption of crude and refined products</w:t>
      </w:r>
      <w:bookmarkEnd w:id="182"/>
      <w:bookmarkEnd w:id="183"/>
      <w:bookmarkEnd w:id="184"/>
    </w:p>
    <w:tbl>
      <w:tblPr>
        <w:tblStyle w:val="OCETable"/>
        <w:tblW w:w="6379" w:type="pct"/>
        <w:tblInd w:w="-1877" w:type="dxa"/>
        <w:tblLayout w:type="fixed"/>
        <w:tblLook w:val="04A0" w:firstRow="1" w:lastRow="0" w:firstColumn="1" w:lastColumn="0" w:noHBand="0" w:noVBand="1"/>
        <w:tblCaption w:val="Placeholder obejct only"/>
      </w:tblPr>
      <w:tblGrid>
        <w:gridCol w:w="8795"/>
      </w:tblGrid>
      <w:tr w:rsidR="001F4600" w:rsidRPr="001F1F3C" w14:paraId="30C317DE" w14:textId="77777777" w:rsidTr="007573EC">
        <w:trPr>
          <w:cnfStyle w:val="100000000000" w:firstRow="1" w:lastRow="0" w:firstColumn="0" w:lastColumn="0" w:oddVBand="0" w:evenVBand="0" w:oddHBand="0" w:evenHBand="0" w:firstRowFirstColumn="0" w:firstRowLastColumn="0" w:lastRowFirstColumn="0" w:lastRowLastColumn="0"/>
          <w:tblHeader/>
        </w:trPr>
        <w:tc>
          <w:tcPr>
            <w:tcW w:w="8795" w:type="dxa"/>
            <w:shd w:val="clear" w:color="auto" w:fill="auto"/>
          </w:tcPr>
          <w:p w14:paraId="57A35A11" w14:textId="7FA7A324" w:rsidR="001F4600" w:rsidRPr="001F1F3C" w:rsidRDefault="00386C07" w:rsidP="00EF480B">
            <w:pPr>
              <w:pStyle w:val="PlaceholderWide"/>
              <w:jc w:val="left"/>
            </w:pPr>
            <w:r>
              <w:rPr>
                <w:noProof/>
                <w:lang w:eastAsia="en-AU"/>
              </w:rPr>
              <w:drawing>
                <wp:inline distT="0" distB="0" distL="0" distR="0" wp14:anchorId="313D968B" wp14:editId="21AAA3CD">
                  <wp:extent cx="5407660" cy="3249295"/>
                  <wp:effectExtent l="0" t="0" r="2540" b="8255"/>
                  <wp:docPr id="28" name="Picture 28" descr="The figure shows the share of Australian imports in total consumption of crude oil and refined products from 1976-77 to 2016-17, and includes dates of closures of four Australian petroleum refineries" title="Figure 4.5: Share of imports in total consumption of crude and refined produ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7660" cy="3249295"/>
                          </a:xfrm>
                          <a:prstGeom prst="rect">
                            <a:avLst/>
                          </a:prstGeom>
                          <a:noFill/>
                        </pic:spPr>
                      </pic:pic>
                    </a:graphicData>
                  </a:graphic>
                </wp:inline>
              </w:drawing>
            </w:r>
          </w:p>
        </w:tc>
      </w:tr>
    </w:tbl>
    <w:p w14:paraId="47776362" w14:textId="5C09CFAB" w:rsidR="00817AD6" w:rsidRPr="001F1F3C" w:rsidRDefault="00817AD6" w:rsidP="00817AD6">
      <w:pPr>
        <w:pStyle w:val="SourceWide"/>
        <w:rPr>
          <w:color w:val="595A5B" w:themeColor="text2"/>
        </w:rPr>
      </w:pPr>
      <w:r w:rsidRPr="001F1F3C">
        <w:rPr>
          <w:color w:val="595A5B" w:themeColor="text2"/>
        </w:rPr>
        <w:t xml:space="preserve">Source: </w:t>
      </w:r>
      <w:r w:rsidRPr="001F1F3C">
        <w:rPr>
          <w:color w:val="595A5B" w:themeColor="text2"/>
          <w:szCs w:val="16"/>
        </w:rPr>
        <w:t xml:space="preserve">Department of </w:t>
      </w:r>
      <w:r w:rsidR="005A4AAD" w:rsidRPr="001F1F3C">
        <w:rPr>
          <w:color w:val="595A5B" w:themeColor="text2"/>
          <w:szCs w:val="16"/>
        </w:rPr>
        <w:t>the Environment and Energy</w:t>
      </w:r>
      <w:r w:rsidRPr="001F1F3C">
        <w:rPr>
          <w:color w:val="595A5B" w:themeColor="text2"/>
          <w:szCs w:val="16"/>
        </w:rPr>
        <w:t xml:space="preserve"> (</w:t>
      </w:r>
      <w:r w:rsidR="003F2CCE" w:rsidRPr="001F1F3C">
        <w:rPr>
          <w:color w:val="595A5B" w:themeColor="text2"/>
          <w:szCs w:val="16"/>
        </w:rPr>
        <w:t>2018</w:t>
      </w:r>
      <w:r w:rsidRPr="001F1F3C">
        <w:rPr>
          <w:color w:val="595A5B" w:themeColor="text2"/>
          <w:szCs w:val="16"/>
        </w:rPr>
        <w:t xml:space="preserve">) </w:t>
      </w:r>
      <w:r w:rsidRPr="001F1F3C">
        <w:rPr>
          <w:i/>
          <w:color w:val="595A5B" w:themeColor="text2"/>
          <w:szCs w:val="16"/>
        </w:rPr>
        <w:t>Australian Energy Statistics</w:t>
      </w:r>
      <w:r w:rsidRPr="001F1F3C">
        <w:rPr>
          <w:color w:val="595A5B" w:themeColor="text2"/>
          <w:szCs w:val="16"/>
        </w:rPr>
        <w:t>, Tables J and D</w:t>
      </w:r>
    </w:p>
    <w:p w14:paraId="4A2C883C" w14:textId="77777777" w:rsidR="007B5574" w:rsidRPr="001F1F3C" w:rsidRDefault="001F4600" w:rsidP="00294FA1">
      <w:pPr>
        <w:spacing w:after="200" w:line="276" w:lineRule="auto"/>
        <w:ind w:left="0"/>
        <w:jc w:val="left"/>
      </w:pPr>
      <w:r w:rsidRPr="001F1F3C">
        <w:br w:type="page"/>
      </w:r>
      <w:bookmarkStart w:id="185" w:name="_Toc428130038"/>
    </w:p>
    <w:p w14:paraId="29733346" w14:textId="77777777" w:rsidR="001F4600" w:rsidRPr="001F1F3C" w:rsidRDefault="001F4600" w:rsidP="007B5574">
      <w:pPr>
        <w:pStyle w:val="Heading1"/>
      </w:pPr>
      <w:bookmarkStart w:id="186" w:name="_Toc522197036"/>
      <w:bookmarkStart w:id="187" w:name="_Toc522633197"/>
      <w:r w:rsidRPr="001F1F3C">
        <w:lastRenderedPageBreak/>
        <w:t>References</w:t>
      </w:r>
      <w:bookmarkEnd w:id="185"/>
      <w:bookmarkEnd w:id="186"/>
      <w:bookmarkEnd w:id="187"/>
    </w:p>
    <w:p w14:paraId="525BE7AC" w14:textId="77777777" w:rsidR="009D5512" w:rsidRDefault="009D5512" w:rsidP="001F4600">
      <w:pPr>
        <w:pStyle w:val="BodyText"/>
        <w:rPr>
          <w:color w:val="595A5B" w:themeColor="text2"/>
        </w:rPr>
      </w:pPr>
    </w:p>
    <w:p w14:paraId="22DE5DE5" w14:textId="7FE43877" w:rsidR="00FC71DF" w:rsidRPr="00F90E64" w:rsidRDefault="00F90E64" w:rsidP="00DC586C">
      <w:pPr>
        <w:pStyle w:val="BodyText"/>
        <w:rPr>
          <w:color w:val="595A5B" w:themeColor="text2"/>
        </w:rPr>
      </w:pPr>
      <w:r>
        <w:rPr>
          <w:color w:val="595A5B" w:themeColor="text2"/>
        </w:rPr>
        <w:t xml:space="preserve">Australian Bureau of Agricultural and Resource Economics and Sciences (2018) </w:t>
      </w:r>
      <w:r>
        <w:rPr>
          <w:i/>
          <w:color w:val="595A5B" w:themeColor="text2"/>
        </w:rPr>
        <w:t>Australian Crop Report</w:t>
      </w:r>
      <w:r>
        <w:rPr>
          <w:color w:val="595A5B" w:themeColor="text2"/>
        </w:rPr>
        <w:t xml:space="preserve">: </w:t>
      </w:r>
      <w:r w:rsidRPr="00F90E64">
        <w:rPr>
          <w:i/>
          <w:color w:val="595A5B" w:themeColor="text2"/>
        </w:rPr>
        <w:t>June 2018</w:t>
      </w:r>
      <w:r>
        <w:rPr>
          <w:color w:val="595A5B" w:themeColor="text2"/>
        </w:rPr>
        <w:t>, Canberra.</w:t>
      </w:r>
    </w:p>
    <w:p w14:paraId="0CF85844" w14:textId="2ED6F9AA" w:rsidR="00DC586C" w:rsidRDefault="00941B67" w:rsidP="00DC586C">
      <w:pPr>
        <w:pStyle w:val="BodyText"/>
        <w:rPr>
          <w:iCs/>
          <w:color w:val="595A5B" w:themeColor="text2"/>
        </w:rPr>
      </w:pPr>
      <w:r w:rsidRPr="001F1F3C">
        <w:rPr>
          <w:color w:val="595A5B" w:themeColor="text2"/>
        </w:rPr>
        <w:t>Australian Bureau of Statistics (2018</w:t>
      </w:r>
      <w:r>
        <w:rPr>
          <w:color w:val="595A5B" w:themeColor="text2"/>
        </w:rPr>
        <w:t>a</w:t>
      </w:r>
      <w:r w:rsidRPr="001F1F3C">
        <w:rPr>
          <w:color w:val="595A5B" w:themeColor="text2"/>
        </w:rPr>
        <w:t xml:space="preserve">) </w:t>
      </w:r>
      <w:r w:rsidR="00DC586C" w:rsidRPr="00DC586C">
        <w:rPr>
          <w:i/>
          <w:iCs/>
          <w:color w:val="595A5B" w:themeColor="text2"/>
        </w:rPr>
        <w:t>Motor vehicle census</w:t>
      </w:r>
      <w:r w:rsidRPr="00DC586C">
        <w:rPr>
          <w:i/>
          <w:iCs/>
          <w:color w:val="595A5B" w:themeColor="text2"/>
        </w:rPr>
        <w:t xml:space="preserve">, </w:t>
      </w:r>
      <w:r w:rsidR="00DC586C">
        <w:rPr>
          <w:i/>
          <w:iCs/>
          <w:color w:val="595A5B" w:themeColor="text2"/>
        </w:rPr>
        <w:t xml:space="preserve">Australia, 31 Jan 2018, </w:t>
      </w:r>
      <w:r w:rsidRPr="00DC586C">
        <w:rPr>
          <w:iCs/>
          <w:color w:val="595A5B" w:themeColor="text2"/>
        </w:rPr>
        <w:t xml:space="preserve">cat. no. </w:t>
      </w:r>
      <w:r w:rsidR="00DC586C" w:rsidRPr="00DC586C">
        <w:rPr>
          <w:iCs/>
          <w:color w:val="595A5B" w:themeColor="text2"/>
        </w:rPr>
        <w:t>9309.0</w:t>
      </w:r>
      <w:r w:rsidRPr="00DC586C">
        <w:rPr>
          <w:iCs/>
          <w:color w:val="595A5B" w:themeColor="text2"/>
        </w:rPr>
        <w:t>, Canberra.</w:t>
      </w:r>
      <w:r w:rsidR="00DC586C" w:rsidRPr="00DC586C">
        <w:rPr>
          <w:iCs/>
          <w:color w:val="595A5B" w:themeColor="text2"/>
        </w:rPr>
        <w:t xml:space="preserve"> </w:t>
      </w:r>
    </w:p>
    <w:p w14:paraId="49D95D0D" w14:textId="77777777" w:rsidR="00735689" w:rsidRPr="001F1F3C" w:rsidRDefault="00735689" w:rsidP="00735689">
      <w:pPr>
        <w:pStyle w:val="BodyText"/>
        <w:rPr>
          <w:color w:val="595A5B" w:themeColor="text2"/>
        </w:rPr>
      </w:pPr>
      <w:r w:rsidRPr="001F1F3C">
        <w:rPr>
          <w:color w:val="595A5B" w:themeColor="text2"/>
        </w:rPr>
        <w:t>Australian Bureau of Statistics (2018</w:t>
      </w:r>
      <w:r>
        <w:rPr>
          <w:color w:val="595A5B" w:themeColor="text2"/>
        </w:rPr>
        <w:t>c</w:t>
      </w:r>
      <w:r w:rsidRPr="001F1F3C">
        <w:rPr>
          <w:color w:val="595A5B" w:themeColor="text2"/>
        </w:rPr>
        <w:t xml:space="preserve">) </w:t>
      </w:r>
      <w:r w:rsidRPr="001F1F3C">
        <w:rPr>
          <w:i/>
          <w:iCs/>
          <w:color w:val="595A5B" w:themeColor="text2"/>
        </w:rPr>
        <w:t>Consumer Price Index, Australia, June 2018</w:t>
      </w:r>
      <w:r w:rsidRPr="001F1F3C">
        <w:rPr>
          <w:color w:val="595A5B" w:themeColor="text2"/>
        </w:rPr>
        <w:t>, cat. no. 6401.1, Canberra.</w:t>
      </w:r>
    </w:p>
    <w:p w14:paraId="4382D73A" w14:textId="40F2208B" w:rsidR="00936D5D" w:rsidRDefault="00936D5D" w:rsidP="001F4600">
      <w:pPr>
        <w:pStyle w:val="BodyText"/>
        <w:rPr>
          <w:color w:val="595A5B" w:themeColor="text2"/>
        </w:rPr>
      </w:pPr>
      <w:r w:rsidRPr="001F1F3C">
        <w:rPr>
          <w:color w:val="595A5B" w:themeColor="text2"/>
        </w:rPr>
        <w:t>Australian Bureau of Statistics (</w:t>
      </w:r>
      <w:r w:rsidR="003F2CCE" w:rsidRPr="001F1F3C">
        <w:rPr>
          <w:color w:val="595A5B" w:themeColor="text2"/>
        </w:rPr>
        <w:t>2018</w:t>
      </w:r>
      <w:r w:rsidR="00735689">
        <w:rPr>
          <w:color w:val="595A5B" w:themeColor="text2"/>
        </w:rPr>
        <w:t>c</w:t>
      </w:r>
      <w:r w:rsidRPr="001F1F3C">
        <w:rPr>
          <w:color w:val="595A5B" w:themeColor="text2"/>
        </w:rPr>
        <w:t xml:space="preserve">) </w:t>
      </w:r>
      <w:r w:rsidR="00FC71DF" w:rsidRPr="00FC71DF">
        <w:rPr>
          <w:i/>
          <w:lang w:val="en"/>
        </w:rPr>
        <w:t>Australian National Accounts: National Income, Expenditure and Product</w:t>
      </w:r>
      <w:r w:rsidR="00FC71DF">
        <w:rPr>
          <w:i/>
          <w:lang w:val="en"/>
        </w:rPr>
        <w:t>,</w:t>
      </w:r>
      <w:r w:rsidR="00FC71DF" w:rsidRPr="00FC71DF">
        <w:rPr>
          <w:i/>
          <w:iCs/>
          <w:color w:val="595A5B" w:themeColor="text2"/>
        </w:rPr>
        <w:t xml:space="preserve"> </w:t>
      </w:r>
      <w:r w:rsidRPr="001F1F3C">
        <w:rPr>
          <w:color w:val="595A5B" w:themeColor="text2"/>
        </w:rPr>
        <w:t xml:space="preserve">cat. no. </w:t>
      </w:r>
      <w:r w:rsidR="00FC71DF">
        <w:rPr>
          <w:lang w:val="en"/>
        </w:rPr>
        <w:t>5206.0,</w:t>
      </w:r>
      <w:r w:rsidRPr="001F1F3C">
        <w:rPr>
          <w:color w:val="595A5B" w:themeColor="text2"/>
        </w:rPr>
        <w:t xml:space="preserve"> Canberra.</w:t>
      </w:r>
    </w:p>
    <w:p w14:paraId="0D879AE6" w14:textId="18AB562D" w:rsidR="001F4600" w:rsidRPr="001F1F3C" w:rsidRDefault="001F4600" w:rsidP="001F4600">
      <w:pPr>
        <w:pStyle w:val="BodyText"/>
      </w:pPr>
      <w:r w:rsidRPr="001F1F3C">
        <w:t xml:space="preserve">Department of </w:t>
      </w:r>
      <w:r w:rsidR="00701722" w:rsidRPr="001F1F3C">
        <w:t>the Environment and Energy</w:t>
      </w:r>
      <w:r w:rsidRPr="001F1F3C">
        <w:t xml:space="preserve"> (</w:t>
      </w:r>
      <w:r w:rsidR="003F2CCE" w:rsidRPr="001F1F3C">
        <w:t>2018</w:t>
      </w:r>
      <w:r w:rsidRPr="001F1F3C">
        <w:t xml:space="preserve">) </w:t>
      </w:r>
      <w:r w:rsidRPr="001F1F3C">
        <w:rPr>
          <w:i/>
        </w:rPr>
        <w:t>Australian Energy Statistics</w:t>
      </w:r>
      <w:r w:rsidRPr="001F1F3C">
        <w:t xml:space="preserve">, Canberra, </w:t>
      </w:r>
      <w:r w:rsidR="00E037FF" w:rsidRPr="001F1F3C">
        <w:t>August</w:t>
      </w:r>
      <w:r w:rsidRPr="001F1F3C">
        <w:t>.</w:t>
      </w:r>
    </w:p>
    <w:p w14:paraId="264E2054" w14:textId="5F2E9379" w:rsidR="001F4600" w:rsidRDefault="001F4600" w:rsidP="001F4600">
      <w:pPr>
        <w:pStyle w:val="BodyText"/>
      </w:pPr>
      <w:r w:rsidRPr="001F1F3C">
        <w:t xml:space="preserve">Department of </w:t>
      </w:r>
      <w:r w:rsidR="00701722" w:rsidRPr="001F1F3C">
        <w:t>the Environment and Energy</w:t>
      </w:r>
      <w:r w:rsidRPr="001F1F3C">
        <w:t xml:space="preserve"> (</w:t>
      </w:r>
      <w:r w:rsidR="003F2CCE" w:rsidRPr="001F1F3C">
        <w:t>2018</w:t>
      </w:r>
      <w:r w:rsidRPr="001F1F3C">
        <w:t xml:space="preserve">) </w:t>
      </w:r>
      <w:r w:rsidRPr="001F1F3C">
        <w:rPr>
          <w:i/>
        </w:rPr>
        <w:t>Guide to the</w:t>
      </w:r>
      <w:r w:rsidRPr="001F1F3C">
        <w:t xml:space="preserve"> </w:t>
      </w:r>
      <w:r w:rsidRPr="001F1F3C">
        <w:rPr>
          <w:i/>
        </w:rPr>
        <w:t>Australian Energy Statistics</w:t>
      </w:r>
      <w:r w:rsidRPr="001F1F3C">
        <w:t xml:space="preserve">, Canberra, </w:t>
      </w:r>
      <w:r w:rsidR="00E037FF" w:rsidRPr="001F1F3C">
        <w:t>August.</w:t>
      </w:r>
    </w:p>
    <w:p w14:paraId="3C4E5784" w14:textId="75404641" w:rsidR="00735689" w:rsidRDefault="00735689" w:rsidP="00735689">
      <w:pPr>
        <w:pStyle w:val="BodyText"/>
        <w:rPr>
          <w:lang w:val="en-GB"/>
        </w:rPr>
      </w:pPr>
      <w:r w:rsidRPr="001F1F3C">
        <w:t xml:space="preserve">Department of </w:t>
      </w:r>
      <w:r>
        <w:t>Industry, Innovation and Science</w:t>
      </w:r>
      <w:r w:rsidRPr="001F1F3C">
        <w:t xml:space="preserve"> (2018) </w:t>
      </w:r>
      <w:r>
        <w:rPr>
          <w:i/>
        </w:rPr>
        <w:t>Resources and Energy Quarterly, June quarter</w:t>
      </w:r>
      <w:r w:rsidRPr="001F1F3C">
        <w:t xml:space="preserve">, Canberra, </w:t>
      </w:r>
      <w:r>
        <w:t>July.</w:t>
      </w:r>
    </w:p>
    <w:p w14:paraId="3DBE69BF" w14:textId="77777777" w:rsidR="00735689" w:rsidRDefault="00735689" w:rsidP="001F4600">
      <w:pPr>
        <w:pStyle w:val="BodyText"/>
        <w:rPr>
          <w:lang w:val="en-GB"/>
        </w:rPr>
      </w:pPr>
    </w:p>
    <w:sectPr w:rsidR="00735689" w:rsidSect="00106E07">
      <w:pgSz w:w="11906" w:h="16838" w:code="9"/>
      <w:pgMar w:top="1440" w:right="1440" w:bottom="1440" w:left="3572"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C64589" w14:textId="77777777" w:rsidR="00542F3D" w:rsidRDefault="00542F3D" w:rsidP="00F244EA">
      <w:pPr>
        <w:spacing w:after="0" w:line="240" w:lineRule="auto"/>
      </w:pPr>
      <w:r>
        <w:separator/>
      </w:r>
    </w:p>
  </w:endnote>
  <w:endnote w:type="continuationSeparator" w:id="0">
    <w:p w14:paraId="0E0A3A01" w14:textId="77777777" w:rsidR="00542F3D" w:rsidRDefault="00542F3D" w:rsidP="00F244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GillSans">
    <w:altName w:val="Gill Sans"/>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yriadPro-Light">
    <w:altName w:val="Myriad Pro Light"/>
    <w:panose1 w:val="00000000000000000000"/>
    <w:charset w:val="4D"/>
    <w:family w:val="auto"/>
    <w:notTrueType/>
    <w:pitch w:val="default"/>
    <w:sig w:usb0="00000003" w:usb1="00000000" w:usb2="00000000" w:usb3="00000000" w:csb0="00000001" w:csb1="00000000"/>
  </w:font>
  <w:font w:name="MS ??">
    <w:altName w:val="MS Mincho"/>
    <w:panose1 w:val="00000000000000000000"/>
    <w:charset w:val="80"/>
    <w:family w:val="auto"/>
    <w:notTrueType/>
    <w:pitch w:val="variable"/>
    <w:sig w:usb0="00000000" w:usb1="08070000" w:usb2="00000010" w:usb3="00000000" w:csb0="00020000" w:csb1="00000000"/>
  </w:font>
  <w:font w:name="MyriadPro-LightIt">
    <w:altName w:val="Cambria"/>
    <w:panose1 w:val="00000000000000000000"/>
    <w:charset w:val="4D"/>
    <w:family w:val="auto"/>
    <w:notTrueType/>
    <w:pitch w:val="default"/>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MyriadPro-Regular">
    <w:altName w:val="Myriad Pro"/>
    <w:panose1 w:val="020B0503030403020204"/>
    <w:charset w:val="4D"/>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CDCE12" w14:textId="1E303BAB" w:rsidR="00542F3D" w:rsidRPr="001C2E57" w:rsidRDefault="00542F3D" w:rsidP="00687FF3">
    <w:pPr>
      <w:pStyle w:val="Footer"/>
      <w:tabs>
        <w:tab w:val="clear" w:pos="9680"/>
      </w:tabs>
      <w:jc w:val="lef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F39384" w14:textId="13B1B01B" w:rsidR="00542F3D" w:rsidRPr="001C2E57" w:rsidRDefault="00542F3D" w:rsidP="00E35ECE">
    <w:pPr>
      <w:pStyle w:val="Footer"/>
    </w:pPr>
    <w:r w:rsidRPr="001C2E57">
      <w:fldChar w:fldCharType="begin"/>
    </w:r>
    <w:r w:rsidRPr="001C2E57">
      <w:instrText>IF</w:instrText>
    </w:r>
    <w:r>
      <w:fldChar w:fldCharType="begin"/>
    </w:r>
    <w:r>
      <w:instrText xml:space="preserve"> STYLEREF "Title Heading" \* Charformat </w:instrText>
    </w:r>
    <w:r>
      <w:rPr>
        <w:noProof/>
      </w:rPr>
      <w:fldChar w:fldCharType="end"/>
    </w:r>
    <w:r w:rsidRPr="001C2E57">
      <w:instrText xml:space="preserve"> &lt;&gt; "Error*" </w:instrText>
    </w:r>
    <w:r>
      <w:fldChar w:fldCharType="begin"/>
    </w:r>
    <w:r>
      <w:instrText xml:space="preserve"> STYLEREF "Title Heading" \* Charformat </w:instrText>
    </w:r>
    <w:r>
      <w:rPr>
        <w:noProof/>
      </w:rPr>
      <w:fldChar w:fldCharType="end"/>
    </w:r>
    <w:r w:rsidRPr="001C2E57">
      <w:instrText xml:space="preserve"> </w:instrText>
    </w:r>
    <w:r w:rsidRPr="001C2E57">
      <w:fldChar w:fldCharType="end"/>
    </w:r>
    <w:r>
      <w:ptab w:relativeTo="margin" w:alignment="right" w:leader="none"/>
    </w:r>
    <w:r w:rsidRPr="001C2E57">
      <w:fldChar w:fldCharType="begin"/>
    </w:r>
    <w:r w:rsidRPr="001C2E57">
      <w:instrText xml:space="preserve"> PAGE   \* MERGEFORMAT </w:instrText>
    </w:r>
    <w:r w:rsidRPr="001C2E57">
      <w:fldChar w:fldCharType="separate"/>
    </w:r>
    <w:r>
      <w:rPr>
        <w:noProof/>
      </w:rPr>
      <w:t>1</w:t>
    </w:r>
    <w:r w:rsidRPr="001C2E57">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E9535E" w14:textId="77777777" w:rsidR="00542F3D" w:rsidRPr="001C2E57" w:rsidRDefault="00542F3D" w:rsidP="00687FF3">
    <w:pPr>
      <w:pStyle w:val="Footer"/>
      <w:tabs>
        <w:tab w:val="clear" w:pos="9680"/>
      </w:tabs>
      <w:jc w:val="left"/>
    </w:pPr>
    <w:r>
      <w:t>Australian Energy Update 2018</w:t>
    </w:r>
    <w:r>
      <w:ptab w:relativeTo="margin" w:alignment="right" w:leader="none"/>
    </w:r>
    <w:r w:rsidRPr="001C2E57">
      <w:fldChar w:fldCharType="begin"/>
    </w:r>
    <w:r w:rsidRPr="001C2E57">
      <w:instrText xml:space="preserve"> PAGE   \* MERGEFORMAT </w:instrText>
    </w:r>
    <w:r w:rsidRPr="001C2E57">
      <w:fldChar w:fldCharType="separate"/>
    </w:r>
    <w:r w:rsidR="00C06D15">
      <w:rPr>
        <w:noProof/>
      </w:rPr>
      <w:t>14</w:t>
    </w:r>
    <w:r w:rsidRPr="001C2E57">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CD7AA6" w14:textId="77777777" w:rsidR="00542F3D" w:rsidRDefault="00542F3D" w:rsidP="00F244EA">
      <w:pPr>
        <w:spacing w:after="0" w:line="240" w:lineRule="auto"/>
      </w:pPr>
      <w:r>
        <w:separator/>
      </w:r>
    </w:p>
  </w:footnote>
  <w:footnote w:type="continuationSeparator" w:id="0">
    <w:p w14:paraId="2C6B3467" w14:textId="77777777" w:rsidR="00542F3D" w:rsidRDefault="00542F3D" w:rsidP="00F244E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E7428BB0"/>
    <w:lvl w:ilvl="0">
      <w:start w:val="1"/>
      <w:numFmt w:val="bullet"/>
      <w:lvlText w:val=""/>
      <w:lvlJc w:val="left"/>
      <w:pPr>
        <w:tabs>
          <w:tab w:val="num" w:pos="926"/>
        </w:tabs>
        <w:ind w:left="926" w:hanging="360"/>
      </w:pPr>
      <w:rPr>
        <w:rFonts w:ascii="Symbol" w:hAnsi="Symbol" w:hint="default"/>
      </w:rPr>
    </w:lvl>
  </w:abstractNum>
  <w:abstractNum w:abstractNumId="1" w15:restartNumberingAfterBreak="0">
    <w:nsid w:val="FFFFFF89"/>
    <w:multiLevelType w:val="singleLevel"/>
    <w:tmpl w:val="F252C770"/>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032DB9"/>
    <w:multiLevelType w:val="multilevel"/>
    <w:tmpl w:val="E5E89F92"/>
    <w:styleLink w:val="BulletList"/>
    <w:lvl w:ilvl="0">
      <w:start w:val="1"/>
      <w:numFmt w:val="bullet"/>
      <w:lvlText w:val=""/>
      <w:lvlJc w:val="left"/>
      <w:pPr>
        <w:ind w:left="369" w:hanging="369"/>
      </w:pPr>
      <w:rPr>
        <w:rFonts w:ascii="Symbol" w:hAnsi="Symbol" w:hint="default"/>
      </w:rPr>
    </w:lvl>
    <w:lvl w:ilvl="1">
      <w:start w:val="1"/>
      <w:numFmt w:val="none"/>
      <w:lvlText w:val="-"/>
      <w:lvlJc w:val="left"/>
      <w:pPr>
        <w:ind w:left="737" w:hanging="368"/>
      </w:pPr>
    </w:lvl>
    <w:lvl w:ilvl="2">
      <w:start w:val="1"/>
      <w:numFmt w:val="none"/>
      <w:lvlText w:val=":"/>
      <w:lvlJc w:val="left"/>
      <w:pPr>
        <w:ind w:left="1106" w:hanging="369"/>
      </w:pPr>
    </w:lvl>
    <w:lvl w:ilvl="3">
      <w:start w:val="1"/>
      <w:numFmt w:val="none"/>
      <w:lvlText w:val=""/>
      <w:lvlJc w:val="left"/>
      <w:pPr>
        <w:ind w:left="1474" w:hanging="368"/>
      </w:pPr>
      <w:rPr>
        <w:color w:val="auto"/>
      </w:rPr>
    </w:lvl>
    <w:lvl w:ilvl="4">
      <w:start w:val="1"/>
      <w:numFmt w:val="none"/>
      <w:lvlText w:val=""/>
      <w:lvlJc w:val="left"/>
      <w:pPr>
        <w:ind w:left="1800" w:hanging="360"/>
      </w:pPr>
      <w:rPr>
        <w:color w:val="auto"/>
      </w:rPr>
    </w:lvl>
    <w:lvl w:ilvl="5">
      <w:start w:val="1"/>
      <w:numFmt w:val="none"/>
      <w:lvlText w:val=""/>
      <w:lvlJc w:val="left"/>
      <w:pPr>
        <w:ind w:left="2160" w:hanging="360"/>
      </w:pPr>
      <w:rPr>
        <w:color w:val="auto"/>
      </w:rPr>
    </w:lvl>
    <w:lvl w:ilvl="6">
      <w:start w:val="1"/>
      <w:numFmt w:val="none"/>
      <w:lvlText w:val=""/>
      <w:lvlJc w:val="left"/>
      <w:pPr>
        <w:ind w:left="2520" w:hanging="360"/>
      </w:pPr>
      <w:rPr>
        <w:color w:val="auto"/>
      </w:rPr>
    </w:lvl>
    <w:lvl w:ilvl="7">
      <w:start w:val="1"/>
      <w:numFmt w:val="none"/>
      <w:lvlText w:val=""/>
      <w:lvlJc w:val="left"/>
      <w:pPr>
        <w:ind w:left="2880" w:hanging="360"/>
      </w:pPr>
      <w:rPr>
        <w:color w:val="auto"/>
      </w:rPr>
    </w:lvl>
    <w:lvl w:ilvl="8">
      <w:start w:val="1"/>
      <w:numFmt w:val="none"/>
      <w:lvlText w:val=""/>
      <w:lvlJc w:val="left"/>
      <w:pPr>
        <w:ind w:left="3240" w:hanging="360"/>
      </w:pPr>
      <w:rPr>
        <w:color w:val="auto"/>
      </w:rPr>
    </w:lvl>
  </w:abstractNum>
  <w:abstractNum w:abstractNumId="3" w15:restartNumberingAfterBreak="0">
    <w:nsid w:val="02CF72D7"/>
    <w:multiLevelType w:val="multilevel"/>
    <w:tmpl w:val="3BFA39A6"/>
    <w:numStyleLink w:val="OCENumberedList"/>
  </w:abstractNum>
  <w:abstractNum w:abstractNumId="4" w15:restartNumberingAfterBreak="0">
    <w:nsid w:val="03323B38"/>
    <w:multiLevelType w:val="multilevel"/>
    <w:tmpl w:val="F0A23940"/>
    <w:styleLink w:val="OCEHeadings"/>
    <w:lvl w:ilvl="0">
      <w:start w:val="1"/>
      <w:numFmt w:val="decimal"/>
      <w:pStyle w:val="Heading1"/>
      <w:lvlText w:val="%1."/>
      <w:lvlJc w:val="left"/>
      <w:pPr>
        <w:ind w:left="709" w:hanging="709"/>
      </w:pPr>
      <w:rPr>
        <w:rFonts w:hint="default"/>
      </w:rPr>
    </w:lvl>
    <w:lvl w:ilvl="1">
      <w:start w:val="1"/>
      <w:numFmt w:val="decimal"/>
      <w:pStyle w:val="Heading2"/>
      <w:lvlText w:val="%1.%2"/>
      <w:lvlJc w:val="left"/>
      <w:pPr>
        <w:ind w:left="709" w:hanging="709"/>
      </w:pPr>
      <w:rPr>
        <w:rFonts w:hint="default"/>
      </w:rPr>
    </w:lvl>
    <w:lvl w:ilvl="2">
      <w:start w:val="1"/>
      <w:numFmt w:val="none"/>
      <w:pStyle w:val="Heading3"/>
      <w:suff w:val="nothing"/>
      <w:lvlText w:val=""/>
      <w:lvlJc w:val="left"/>
      <w:pPr>
        <w:ind w:left="0" w:firstLine="0"/>
      </w:pPr>
      <w:rPr>
        <w:rFonts w:hint="default"/>
      </w:rPr>
    </w:lvl>
    <w:lvl w:ilvl="3">
      <w:start w:val="1"/>
      <w:numFmt w:val="none"/>
      <w:suff w:val="nothing"/>
      <w:lvlText w:val=""/>
      <w:lvlJc w:val="left"/>
      <w:pPr>
        <w:ind w:left="2160" w:firstLine="0"/>
      </w:pPr>
      <w:rPr>
        <w:rFonts w:hint="default"/>
      </w:rPr>
    </w:lvl>
    <w:lvl w:ilvl="4">
      <w:start w:val="1"/>
      <w:numFmt w:val="none"/>
      <w:suff w:val="nothing"/>
      <w:lvlText w:val=""/>
      <w:lvlJc w:val="left"/>
      <w:pPr>
        <w:ind w:left="2160" w:firstLine="0"/>
      </w:pPr>
      <w:rPr>
        <w:rFonts w:hint="default"/>
      </w:rPr>
    </w:lvl>
    <w:lvl w:ilvl="5">
      <w:start w:val="1"/>
      <w:numFmt w:val="upperLetter"/>
      <w:pStyle w:val="Heading6"/>
      <w:lvlText w:val="Appendix %6"/>
      <w:lvlJc w:val="left"/>
      <w:pPr>
        <w:ind w:left="2381" w:hanging="2381"/>
      </w:pPr>
      <w:rPr>
        <w:rFonts w:hint="default"/>
      </w:rPr>
    </w:lvl>
    <w:lvl w:ilvl="6">
      <w:start w:val="1"/>
      <w:numFmt w:val="decimal"/>
      <w:pStyle w:val="Heading7"/>
      <w:lvlText w:val="%6.%7"/>
      <w:lvlJc w:val="left"/>
      <w:pPr>
        <w:ind w:left="709" w:hanging="709"/>
      </w:pPr>
      <w:rPr>
        <w:rFonts w:hint="default"/>
      </w:rPr>
    </w:lvl>
    <w:lvl w:ilvl="7">
      <w:start w:val="1"/>
      <w:numFmt w:val="none"/>
      <w:pStyle w:val="Heading8"/>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05FA705B"/>
    <w:multiLevelType w:val="multilevel"/>
    <w:tmpl w:val="70341E2E"/>
    <w:numStyleLink w:val="OCEOnePagerHeadingStyles"/>
  </w:abstractNum>
  <w:abstractNum w:abstractNumId="6" w15:restartNumberingAfterBreak="0">
    <w:nsid w:val="182859EC"/>
    <w:multiLevelType w:val="multilevel"/>
    <w:tmpl w:val="3684BDEC"/>
    <w:styleLink w:val="OCETableBullets"/>
    <w:lvl w:ilvl="0">
      <w:start w:val="1"/>
      <w:numFmt w:val="bullet"/>
      <w:pStyle w:val="TableListBullet"/>
      <w:lvlText w:val=""/>
      <w:lvlJc w:val="left"/>
      <w:pPr>
        <w:ind w:left="113" w:hanging="113"/>
      </w:pPr>
      <w:rPr>
        <w:rFonts w:ascii="Wingdings" w:hAnsi="Wingdings" w:hint="default"/>
      </w:rPr>
    </w:lvl>
    <w:lvl w:ilvl="1">
      <w:start w:val="1"/>
      <w:numFmt w:val="none"/>
      <w:suff w:val="nothing"/>
      <w:lvlText w:val=""/>
      <w:lvlJc w:val="left"/>
      <w:pPr>
        <w:ind w:left="-32767" w:firstLine="0"/>
      </w:pPr>
      <w:rPr>
        <w:rFonts w:hint="default"/>
      </w:rPr>
    </w:lvl>
    <w:lvl w:ilvl="2">
      <w:start w:val="1"/>
      <w:numFmt w:val="none"/>
      <w:suff w:val="nothing"/>
      <w:lvlText w:val=""/>
      <w:lvlJc w:val="left"/>
      <w:pPr>
        <w:ind w:left="-32767" w:firstLine="0"/>
      </w:pPr>
      <w:rPr>
        <w:rFonts w:hint="default"/>
      </w:rPr>
    </w:lvl>
    <w:lvl w:ilvl="3">
      <w:start w:val="1"/>
      <w:numFmt w:val="none"/>
      <w:suff w:val="nothing"/>
      <w:lvlText w:val=""/>
      <w:lvlJc w:val="left"/>
      <w:pPr>
        <w:ind w:left="-32767" w:firstLine="0"/>
      </w:pPr>
      <w:rPr>
        <w:rFonts w:hint="default"/>
      </w:rPr>
    </w:lvl>
    <w:lvl w:ilvl="4">
      <w:start w:val="1"/>
      <w:numFmt w:val="none"/>
      <w:suff w:val="nothing"/>
      <w:lvlText w:val=""/>
      <w:lvlJc w:val="left"/>
      <w:pPr>
        <w:ind w:left="-32767" w:firstLine="0"/>
      </w:pPr>
      <w:rPr>
        <w:rFonts w:hint="default"/>
      </w:rPr>
    </w:lvl>
    <w:lvl w:ilvl="5">
      <w:start w:val="1"/>
      <w:numFmt w:val="none"/>
      <w:suff w:val="nothing"/>
      <w:lvlText w:val=""/>
      <w:lvlJc w:val="left"/>
      <w:pPr>
        <w:ind w:left="-32767" w:firstLine="0"/>
      </w:pPr>
      <w:rPr>
        <w:rFonts w:hint="default"/>
      </w:rPr>
    </w:lvl>
    <w:lvl w:ilvl="6">
      <w:start w:val="1"/>
      <w:numFmt w:val="bullet"/>
      <w:suff w:val="nothing"/>
      <w:lvlText w:val=""/>
      <w:lvlJc w:val="left"/>
      <w:pPr>
        <w:ind w:left="-32767" w:firstLine="0"/>
      </w:pPr>
      <w:rPr>
        <w:rFonts w:ascii="Symbol" w:hAnsi="Symbol" w:hint="default"/>
      </w:rPr>
    </w:lvl>
    <w:lvl w:ilvl="7">
      <w:start w:val="1"/>
      <w:numFmt w:val="bullet"/>
      <w:suff w:val="nothing"/>
      <w:lvlText w:val="o"/>
      <w:lvlJc w:val="left"/>
      <w:pPr>
        <w:ind w:left="-32767" w:firstLine="0"/>
      </w:pPr>
      <w:rPr>
        <w:rFonts w:ascii="Courier New" w:hAnsi="Courier New" w:hint="default"/>
      </w:rPr>
    </w:lvl>
    <w:lvl w:ilvl="8">
      <w:start w:val="1"/>
      <w:numFmt w:val="bullet"/>
      <w:suff w:val="nothing"/>
      <w:lvlText w:val=""/>
      <w:lvlJc w:val="left"/>
      <w:pPr>
        <w:ind w:left="-32767" w:firstLine="0"/>
      </w:pPr>
      <w:rPr>
        <w:rFonts w:ascii="Wingdings" w:hAnsi="Wingdings" w:hint="default"/>
      </w:rPr>
    </w:lvl>
  </w:abstractNum>
  <w:abstractNum w:abstractNumId="7" w15:restartNumberingAfterBreak="0">
    <w:nsid w:val="187029E1"/>
    <w:multiLevelType w:val="multilevel"/>
    <w:tmpl w:val="9E06CAEE"/>
    <w:styleLink w:val="EASDMultilevelList"/>
    <w:lvl w:ilvl="0">
      <w:start w:val="1"/>
      <w:numFmt w:val="decimal"/>
      <w:lvlText w:val="%1."/>
      <w:lvlJc w:val="left"/>
      <w:pPr>
        <w:ind w:left="2520" w:hanging="360"/>
      </w:pPr>
      <w:rPr>
        <w:rFonts w:hint="default"/>
      </w:rPr>
    </w:lvl>
    <w:lvl w:ilvl="1">
      <w:start w:val="1"/>
      <w:numFmt w:val="decimal"/>
      <w:lvlText w:val="%1.%2."/>
      <w:lvlJc w:val="left"/>
      <w:pPr>
        <w:ind w:left="2121" w:firstLine="399"/>
      </w:pPr>
      <w:rPr>
        <w:rFonts w:hint="default"/>
      </w:rPr>
    </w:lvl>
    <w:lvl w:ilvl="2">
      <w:start w:val="1"/>
      <w:numFmt w:val="decimal"/>
      <w:lvlText w:val="%1.%2.%3."/>
      <w:lvlJc w:val="left"/>
      <w:pPr>
        <w:ind w:left="2121" w:firstLine="759"/>
      </w:pPr>
      <w:rPr>
        <w:rFonts w:hint="default"/>
      </w:rPr>
    </w:lvl>
    <w:lvl w:ilvl="3">
      <w:start w:val="1"/>
      <w:numFmt w:val="decimal"/>
      <w:lvlText w:val="%1.%2.%3.%4."/>
      <w:lvlJc w:val="left"/>
      <w:pPr>
        <w:ind w:left="2121" w:firstLine="1119"/>
      </w:pPr>
      <w:rPr>
        <w:rFonts w:hint="default"/>
      </w:rPr>
    </w:lvl>
    <w:lvl w:ilvl="4">
      <w:start w:val="1"/>
      <w:numFmt w:val="decimal"/>
      <w:lvlText w:val="%1.%2.%3.%4.%5."/>
      <w:lvlJc w:val="left"/>
      <w:pPr>
        <w:ind w:left="4392" w:hanging="792"/>
      </w:pPr>
      <w:rPr>
        <w:rFonts w:hint="default"/>
      </w:rPr>
    </w:lvl>
    <w:lvl w:ilvl="5">
      <w:start w:val="1"/>
      <w:numFmt w:val="decimal"/>
      <w:lvlText w:val="%1.%2.%3.%4.%5.%6."/>
      <w:lvlJc w:val="left"/>
      <w:pPr>
        <w:ind w:left="4896" w:hanging="936"/>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5904" w:hanging="1224"/>
      </w:pPr>
      <w:rPr>
        <w:rFonts w:hint="default"/>
      </w:rPr>
    </w:lvl>
    <w:lvl w:ilvl="8">
      <w:start w:val="1"/>
      <w:numFmt w:val="decimal"/>
      <w:lvlText w:val="%1.%2.%3.%4.%5.%6.%7.%8.%9."/>
      <w:lvlJc w:val="left"/>
      <w:pPr>
        <w:ind w:left="6480" w:hanging="1440"/>
      </w:pPr>
      <w:rPr>
        <w:rFonts w:hint="default"/>
      </w:rPr>
    </w:lvl>
  </w:abstractNum>
  <w:abstractNum w:abstractNumId="8" w15:restartNumberingAfterBreak="0">
    <w:nsid w:val="18801DAD"/>
    <w:multiLevelType w:val="multilevel"/>
    <w:tmpl w:val="3BFA39A6"/>
    <w:styleLink w:val="OCENumberedList"/>
    <w:lvl w:ilvl="0">
      <w:start w:val="1"/>
      <w:numFmt w:val="decimal"/>
      <w:pStyle w:val="ListNumber"/>
      <w:lvlText w:val="%1."/>
      <w:lvlJc w:val="left"/>
      <w:pPr>
        <w:ind w:left="425" w:hanging="425"/>
      </w:pPr>
      <w:rPr>
        <w:rFonts w:hint="default"/>
      </w:rPr>
    </w:lvl>
    <w:lvl w:ilvl="1">
      <w:start w:val="1"/>
      <w:numFmt w:val="decimal"/>
      <w:pStyle w:val="ListNumber2"/>
      <w:lvlText w:val="%1.%2"/>
      <w:lvlJc w:val="left"/>
      <w:pPr>
        <w:ind w:left="992" w:hanging="567"/>
      </w:pPr>
      <w:rPr>
        <w:rFonts w:hint="default"/>
      </w:rPr>
    </w:lvl>
    <w:lvl w:ilvl="2">
      <w:start w:val="1"/>
      <w:numFmt w:val="decimal"/>
      <w:pStyle w:val="ListNumber3"/>
      <w:lvlText w:val="%1.%2.%3"/>
      <w:lvlJc w:val="left"/>
      <w:pPr>
        <w:ind w:left="1701" w:hanging="709"/>
      </w:pPr>
      <w:rPr>
        <w:rFonts w:hint="default"/>
      </w:rPr>
    </w:lvl>
    <w:lvl w:ilvl="3">
      <w:start w:val="1"/>
      <w:numFmt w:val="none"/>
      <w:pStyle w:val="ListNumber4"/>
      <w:suff w:val="nothing"/>
      <w:lvlText w:val=""/>
      <w:lvlJc w:val="left"/>
      <w:pPr>
        <w:ind w:left="1701" w:firstLine="0"/>
      </w:pPr>
      <w:rPr>
        <w:rFonts w:hint="default"/>
      </w:rPr>
    </w:lvl>
    <w:lvl w:ilvl="4">
      <w:start w:val="1"/>
      <w:numFmt w:val="none"/>
      <w:lvlRestart w:val="0"/>
      <w:suff w:val="nothing"/>
      <w:lvlText w:val=""/>
      <w:lvlJc w:val="left"/>
      <w:pPr>
        <w:ind w:left="3686" w:firstLine="0"/>
      </w:pPr>
      <w:rPr>
        <w:rFonts w:hint="default"/>
      </w:rPr>
    </w:lvl>
    <w:lvl w:ilvl="5">
      <w:start w:val="1"/>
      <w:numFmt w:val="none"/>
      <w:lvlRestart w:val="0"/>
      <w:suff w:val="nothing"/>
      <w:lvlText w:val=""/>
      <w:lvlJc w:val="left"/>
      <w:pPr>
        <w:ind w:left="3686" w:firstLine="0"/>
      </w:pPr>
      <w:rPr>
        <w:rFonts w:hint="default"/>
      </w:rPr>
    </w:lvl>
    <w:lvl w:ilvl="6">
      <w:start w:val="1"/>
      <w:numFmt w:val="none"/>
      <w:lvlRestart w:val="0"/>
      <w:suff w:val="nothing"/>
      <w:lvlText w:val=""/>
      <w:lvlJc w:val="left"/>
      <w:pPr>
        <w:ind w:left="3686" w:firstLine="0"/>
      </w:pPr>
      <w:rPr>
        <w:rFonts w:hint="default"/>
      </w:rPr>
    </w:lvl>
    <w:lvl w:ilvl="7">
      <w:start w:val="1"/>
      <w:numFmt w:val="none"/>
      <w:lvlRestart w:val="0"/>
      <w:suff w:val="nothing"/>
      <w:lvlText w:val=""/>
      <w:lvlJc w:val="left"/>
      <w:pPr>
        <w:ind w:left="3686" w:firstLine="0"/>
      </w:pPr>
      <w:rPr>
        <w:rFonts w:hint="default"/>
      </w:rPr>
    </w:lvl>
    <w:lvl w:ilvl="8">
      <w:start w:val="1"/>
      <w:numFmt w:val="none"/>
      <w:lvlRestart w:val="0"/>
      <w:suff w:val="nothing"/>
      <w:lvlText w:val=""/>
      <w:lvlJc w:val="left"/>
      <w:pPr>
        <w:ind w:left="3686" w:firstLine="0"/>
      </w:pPr>
      <w:rPr>
        <w:rFonts w:hint="default"/>
      </w:rPr>
    </w:lvl>
  </w:abstractNum>
  <w:abstractNum w:abstractNumId="9" w15:restartNumberingAfterBreak="0">
    <w:nsid w:val="1F745BC2"/>
    <w:multiLevelType w:val="multilevel"/>
    <w:tmpl w:val="E5E89F92"/>
    <w:lvl w:ilvl="0">
      <w:start w:val="1"/>
      <w:numFmt w:val="bullet"/>
      <w:lvlText w:val=""/>
      <w:lvlJc w:val="left"/>
      <w:pPr>
        <w:ind w:left="369" w:hanging="369"/>
      </w:pPr>
      <w:rPr>
        <w:rFonts w:ascii="Symbol" w:hAnsi="Symbol" w:hint="default"/>
      </w:rPr>
    </w:lvl>
    <w:lvl w:ilvl="1">
      <w:start w:val="1"/>
      <w:numFmt w:val="none"/>
      <w:lvlText w:val="-"/>
      <w:lvlJc w:val="left"/>
      <w:pPr>
        <w:ind w:left="737" w:hanging="368"/>
      </w:pPr>
    </w:lvl>
    <w:lvl w:ilvl="2">
      <w:start w:val="1"/>
      <w:numFmt w:val="none"/>
      <w:lvlText w:val=":"/>
      <w:lvlJc w:val="left"/>
      <w:pPr>
        <w:ind w:left="1106" w:hanging="369"/>
      </w:pPr>
    </w:lvl>
    <w:lvl w:ilvl="3">
      <w:start w:val="1"/>
      <w:numFmt w:val="none"/>
      <w:lvlText w:val=""/>
      <w:lvlJc w:val="left"/>
      <w:pPr>
        <w:ind w:left="1474" w:hanging="368"/>
      </w:pPr>
      <w:rPr>
        <w:color w:val="auto"/>
      </w:rPr>
    </w:lvl>
    <w:lvl w:ilvl="4">
      <w:start w:val="1"/>
      <w:numFmt w:val="none"/>
      <w:lvlText w:val=""/>
      <w:lvlJc w:val="left"/>
      <w:pPr>
        <w:ind w:left="1800" w:hanging="360"/>
      </w:pPr>
      <w:rPr>
        <w:color w:val="auto"/>
      </w:rPr>
    </w:lvl>
    <w:lvl w:ilvl="5">
      <w:start w:val="1"/>
      <w:numFmt w:val="none"/>
      <w:lvlText w:val=""/>
      <w:lvlJc w:val="left"/>
      <w:pPr>
        <w:ind w:left="2160" w:hanging="360"/>
      </w:pPr>
      <w:rPr>
        <w:color w:val="auto"/>
      </w:rPr>
    </w:lvl>
    <w:lvl w:ilvl="6">
      <w:start w:val="1"/>
      <w:numFmt w:val="none"/>
      <w:lvlText w:val=""/>
      <w:lvlJc w:val="left"/>
      <w:pPr>
        <w:ind w:left="2520" w:hanging="360"/>
      </w:pPr>
      <w:rPr>
        <w:color w:val="auto"/>
      </w:rPr>
    </w:lvl>
    <w:lvl w:ilvl="7">
      <w:start w:val="1"/>
      <w:numFmt w:val="none"/>
      <w:lvlText w:val=""/>
      <w:lvlJc w:val="left"/>
      <w:pPr>
        <w:ind w:left="2880" w:hanging="360"/>
      </w:pPr>
      <w:rPr>
        <w:color w:val="auto"/>
      </w:rPr>
    </w:lvl>
    <w:lvl w:ilvl="8">
      <w:start w:val="1"/>
      <w:numFmt w:val="none"/>
      <w:lvlText w:val=""/>
      <w:lvlJc w:val="left"/>
      <w:pPr>
        <w:ind w:left="3240" w:hanging="360"/>
      </w:pPr>
      <w:rPr>
        <w:color w:val="auto"/>
      </w:rPr>
    </w:lvl>
  </w:abstractNum>
  <w:abstractNum w:abstractNumId="10" w15:restartNumberingAfterBreak="0">
    <w:nsid w:val="25A84853"/>
    <w:multiLevelType w:val="multilevel"/>
    <w:tmpl w:val="70341E2E"/>
    <w:styleLink w:val="OCEOnePagerHeadingStyles"/>
    <w:lvl w:ilvl="0">
      <w:start w:val="1"/>
      <w:numFmt w:val="decimal"/>
      <w:pStyle w:val="OnePagerH1"/>
      <w:lvlText w:val="%1."/>
      <w:lvlJc w:val="left"/>
      <w:pPr>
        <w:ind w:left="360" w:hanging="360"/>
      </w:pPr>
      <w:rPr>
        <w:rFonts w:hint="default"/>
      </w:rPr>
    </w:lvl>
    <w:lvl w:ilvl="1">
      <w:start w:val="1"/>
      <w:numFmt w:val="decimal"/>
      <w:pStyle w:val="OnePagerH2"/>
      <w:lvlText w:val="%1.%2"/>
      <w:lvlJc w:val="left"/>
      <w:pPr>
        <w:ind w:left="0" w:firstLine="0"/>
      </w:pPr>
      <w:rPr>
        <w:rFonts w:hint="default"/>
      </w:rPr>
    </w:lvl>
    <w:lvl w:ilvl="2">
      <w:start w:val="1"/>
      <w:numFmt w:val="none"/>
      <w:pStyle w:val="OnePagerH3"/>
      <w:suff w:val="nothing"/>
      <w:lvlText w:val=""/>
      <w:lvlJc w:val="left"/>
      <w:pPr>
        <w:ind w:left="-32767" w:firstLine="0"/>
      </w:pPr>
      <w:rPr>
        <w:rFonts w:hint="default"/>
      </w:rPr>
    </w:lvl>
    <w:lvl w:ilvl="3">
      <w:start w:val="1"/>
      <w:numFmt w:val="none"/>
      <w:lvlRestart w:val="0"/>
      <w:suff w:val="nothing"/>
      <w:lvlText w:val=""/>
      <w:lvlJc w:val="left"/>
      <w:pPr>
        <w:ind w:left="-32767" w:firstLine="0"/>
      </w:pPr>
      <w:rPr>
        <w:rFonts w:hint="default"/>
      </w:rPr>
    </w:lvl>
    <w:lvl w:ilvl="4">
      <w:start w:val="1"/>
      <w:numFmt w:val="none"/>
      <w:lvlRestart w:val="0"/>
      <w:suff w:val="nothing"/>
      <w:lvlText w:val=""/>
      <w:lvlJc w:val="left"/>
      <w:pPr>
        <w:ind w:left="-32767" w:firstLine="0"/>
      </w:pPr>
      <w:rPr>
        <w:rFonts w:hint="default"/>
      </w:rPr>
    </w:lvl>
    <w:lvl w:ilvl="5">
      <w:start w:val="1"/>
      <w:numFmt w:val="none"/>
      <w:lvlRestart w:val="0"/>
      <w:suff w:val="nothing"/>
      <w:lvlText w:val=""/>
      <w:lvlJc w:val="left"/>
      <w:pPr>
        <w:ind w:left="-32767" w:firstLine="0"/>
      </w:pPr>
      <w:rPr>
        <w:rFonts w:hint="default"/>
      </w:rPr>
    </w:lvl>
    <w:lvl w:ilvl="6">
      <w:start w:val="1"/>
      <w:numFmt w:val="none"/>
      <w:lvlRestart w:val="0"/>
      <w:suff w:val="nothing"/>
      <w:lvlText w:val=""/>
      <w:lvlJc w:val="left"/>
      <w:pPr>
        <w:ind w:left="-32767" w:firstLine="0"/>
      </w:pPr>
      <w:rPr>
        <w:rFonts w:hint="default"/>
      </w:rPr>
    </w:lvl>
    <w:lvl w:ilvl="7">
      <w:start w:val="1"/>
      <w:numFmt w:val="none"/>
      <w:lvlRestart w:val="0"/>
      <w:suff w:val="nothing"/>
      <w:lvlText w:val=""/>
      <w:lvlJc w:val="left"/>
      <w:pPr>
        <w:ind w:left="-32767" w:firstLine="0"/>
      </w:pPr>
      <w:rPr>
        <w:rFonts w:hint="default"/>
      </w:rPr>
    </w:lvl>
    <w:lvl w:ilvl="8">
      <w:start w:val="1"/>
      <w:numFmt w:val="none"/>
      <w:lvlRestart w:val="0"/>
      <w:suff w:val="nothing"/>
      <w:lvlText w:val="%9."/>
      <w:lvlJc w:val="left"/>
      <w:pPr>
        <w:ind w:left="-32767" w:firstLine="0"/>
      </w:pPr>
      <w:rPr>
        <w:rFonts w:hint="default"/>
      </w:rPr>
    </w:lvl>
  </w:abstractNum>
  <w:abstractNum w:abstractNumId="11" w15:restartNumberingAfterBreak="0">
    <w:nsid w:val="3CA8400C"/>
    <w:multiLevelType w:val="singleLevel"/>
    <w:tmpl w:val="D42E603A"/>
    <w:lvl w:ilvl="0">
      <w:start w:val="1"/>
      <w:numFmt w:val="bullet"/>
      <w:pStyle w:val="Bullet2"/>
      <w:lvlText w:val=""/>
      <w:lvlJc w:val="left"/>
      <w:pPr>
        <w:tabs>
          <w:tab w:val="num" w:pos="1418"/>
        </w:tabs>
        <w:ind w:left="1418" w:hanging="709"/>
      </w:pPr>
      <w:rPr>
        <w:rFonts w:ascii="Symbol" w:hAnsi="Symbol" w:hint="default"/>
        <w:b w:val="0"/>
        <w:i w:val="0"/>
        <w:sz w:val="20"/>
      </w:rPr>
    </w:lvl>
  </w:abstractNum>
  <w:abstractNum w:abstractNumId="12" w15:restartNumberingAfterBreak="0">
    <w:nsid w:val="427C52AC"/>
    <w:multiLevelType w:val="hybridMultilevel"/>
    <w:tmpl w:val="18EEAF78"/>
    <w:lvl w:ilvl="0" w:tplc="421473CC">
      <w:start w:val="1"/>
      <w:numFmt w:val="bullet"/>
      <w:pStyle w:val="Keypointsbullet"/>
      <w:lvlText w:val=""/>
      <w:lvlJc w:val="left"/>
      <w:pPr>
        <w:ind w:left="2880" w:hanging="360"/>
      </w:pPr>
      <w:rPr>
        <w:rFonts w:ascii="Wingdings" w:hAnsi="Wingdings" w:hint="default"/>
      </w:rPr>
    </w:lvl>
    <w:lvl w:ilvl="1" w:tplc="0C090003">
      <w:start w:val="1"/>
      <w:numFmt w:val="bullet"/>
      <w:lvlText w:val="o"/>
      <w:lvlJc w:val="left"/>
      <w:pPr>
        <w:ind w:left="3600" w:hanging="360"/>
      </w:pPr>
      <w:rPr>
        <w:rFonts w:ascii="Courier New" w:hAnsi="Courier New" w:cs="Courier New" w:hint="default"/>
      </w:rPr>
    </w:lvl>
    <w:lvl w:ilvl="2" w:tplc="0C090005" w:tentative="1">
      <w:start w:val="1"/>
      <w:numFmt w:val="bullet"/>
      <w:lvlText w:val=""/>
      <w:lvlJc w:val="left"/>
      <w:pPr>
        <w:ind w:left="4320" w:hanging="360"/>
      </w:pPr>
      <w:rPr>
        <w:rFonts w:ascii="Wingdings" w:hAnsi="Wingdings" w:hint="default"/>
      </w:rPr>
    </w:lvl>
    <w:lvl w:ilvl="3" w:tplc="0C090001" w:tentative="1">
      <w:start w:val="1"/>
      <w:numFmt w:val="bullet"/>
      <w:lvlText w:val=""/>
      <w:lvlJc w:val="left"/>
      <w:pPr>
        <w:ind w:left="5040" w:hanging="360"/>
      </w:pPr>
      <w:rPr>
        <w:rFonts w:ascii="Symbol" w:hAnsi="Symbol" w:hint="default"/>
      </w:rPr>
    </w:lvl>
    <w:lvl w:ilvl="4" w:tplc="0C090003" w:tentative="1">
      <w:start w:val="1"/>
      <w:numFmt w:val="bullet"/>
      <w:lvlText w:val="o"/>
      <w:lvlJc w:val="left"/>
      <w:pPr>
        <w:ind w:left="5760" w:hanging="360"/>
      </w:pPr>
      <w:rPr>
        <w:rFonts w:ascii="Courier New" w:hAnsi="Courier New" w:cs="Courier New" w:hint="default"/>
      </w:rPr>
    </w:lvl>
    <w:lvl w:ilvl="5" w:tplc="0C090005" w:tentative="1">
      <w:start w:val="1"/>
      <w:numFmt w:val="bullet"/>
      <w:lvlText w:val=""/>
      <w:lvlJc w:val="left"/>
      <w:pPr>
        <w:ind w:left="6480" w:hanging="360"/>
      </w:pPr>
      <w:rPr>
        <w:rFonts w:ascii="Wingdings" w:hAnsi="Wingdings" w:hint="default"/>
      </w:rPr>
    </w:lvl>
    <w:lvl w:ilvl="6" w:tplc="0C090001" w:tentative="1">
      <w:start w:val="1"/>
      <w:numFmt w:val="bullet"/>
      <w:lvlText w:val=""/>
      <w:lvlJc w:val="left"/>
      <w:pPr>
        <w:ind w:left="7200" w:hanging="360"/>
      </w:pPr>
      <w:rPr>
        <w:rFonts w:ascii="Symbol" w:hAnsi="Symbol" w:hint="default"/>
      </w:rPr>
    </w:lvl>
    <w:lvl w:ilvl="7" w:tplc="0C090003" w:tentative="1">
      <w:start w:val="1"/>
      <w:numFmt w:val="bullet"/>
      <w:lvlText w:val="o"/>
      <w:lvlJc w:val="left"/>
      <w:pPr>
        <w:ind w:left="7920" w:hanging="360"/>
      </w:pPr>
      <w:rPr>
        <w:rFonts w:ascii="Courier New" w:hAnsi="Courier New" w:cs="Courier New" w:hint="default"/>
      </w:rPr>
    </w:lvl>
    <w:lvl w:ilvl="8" w:tplc="0C090005" w:tentative="1">
      <w:start w:val="1"/>
      <w:numFmt w:val="bullet"/>
      <w:lvlText w:val=""/>
      <w:lvlJc w:val="left"/>
      <w:pPr>
        <w:ind w:left="8640" w:hanging="360"/>
      </w:pPr>
      <w:rPr>
        <w:rFonts w:ascii="Wingdings" w:hAnsi="Wingdings" w:hint="default"/>
      </w:rPr>
    </w:lvl>
  </w:abstractNum>
  <w:abstractNum w:abstractNumId="13" w15:restartNumberingAfterBreak="0">
    <w:nsid w:val="4B94390E"/>
    <w:multiLevelType w:val="multilevel"/>
    <w:tmpl w:val="E29ACE62"/>
    <w:styleLink w:val="OCEBulletedList"/>
    <w:lvl w:ilvl="0">
      <w:start w:val="1"/>
      <w:numFmt w:val="bullet"/>
      <w:pStyle w:val="ListBullet"/>
      <w:lvlText w:val=""/>
      <w:lvlJc w:val="left"/>
      <w:pPr>
        <w:ind w:left="340" w:hanging="340"/>
      </w:pPr>
      <w:rPr>
        <w:rFonts w:ascii="Wingdings" w:hAnsi="Wingdings" w:hint="default"/>
      </w:rPr>
    </w:lvl>
    <w:lvl w:ilvl="1">
      <w:start w:val="1"/>
      <w:numFmt w:val="bullet"/>
      <w:pStyle w:val="ListBullet2"/>
      <w:lvlText w:val="-"/>
      <w:lvlJc w:val="left"/>
      <w:pPr>
        <w:ind w:left="680" w:hanging="340"/>
      </w:pPr>
      <w:rPr>
        <w:rFonts w:ascii="Courier New" w:hAnsi="Courier New" w:hint="default"/>
      </w:rPr>
    </w:lvl>
    <w:lvl w:ilvl="2">
      <w:start w:val="1"/>
      <w:numFmt w:val="bullet"/>
      <w:pStyle w:val="ListBullet3"/>
      <w:lvlText w:val=""/>
      <w:lvlJc w:val="left"/>
      <w:pPr>
        <w:ind w:left="1021" w:hanging="341"/>
      </w:pPr>
      <w:rPr>
        <w:rFonts w:ascii="Wingdings" w:hAnsi="Wingdings" w:hint="default"/>
      </w:rPr>
    </w:lvl>
    <w:lvl w:ilvl="3">
      <w:start w:val="1"/>
      <w:numFmt w:val="none"/>
      <w:pStyle w:val="ListBullet4"/>
      <w:suff w:val="nothing"/>
      <w:lvlText w:val=""/>
      <w:lvlJc w:val="left"/>
      <w:pPr>
        <w:ind w:left="1134"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4" w15:restartNumberingAfterBreak="0">
    <w:nsid w:val="53813CDC"/>
    <w:multiLevelType w:val="multilevel"/>
    <w:tmpl w:val="F0A23940"/>
    <w:numStyleLink w:val="OCEHeadings"/>
  </w:abstractNum>
  <w:abstractNum w:abstractNumId="15" w15:restartNumberingAfterBreak="0">
    <w:nsid w:val="733F0F27"/>
    <w:multiLevelType w:val="hybridMultilevel"/>
    <w:tmpl w:val="0114C8EA"/>
    <w:lvl w:ilvl="0" w:tplc="6C1A7FF4">
      <w:start w:val="1"/>
      <w:numFmt w:val="bullet"/>
      <w:lvlText w:val="•"/>
      <w:lvlJc w:val="left"/>
      <w:pPr>
        <w:tabs>
          <w:tab w:val="num" w:pos="720"/>
        </w:tabs>
        <w:ind w:left="720" w:hanging="360"/>
      </w:pPr>
      <w:rPr>
        <w:rFonts w:ascii="Arial" w:hAnsi="Arial" w:hint="default"/>
      </w:rPr>
    </w:lvl>
    <w:lvl w:ilvl="1" w:tplc="4D70330A" w:tentative="1">
      <w:start w:val="1"/>
      <w:numFmt w:val="bullet"/>
      <w:lvlText w:val="•"/>
      <w:lvlJc w:val="left"/>
      <w:pPr>
        <w:tabs>
          <w:tab w:val="num" w:pos="1440"/>
        </w:tabs>
        <w:ind w:left="1440" w:hanging="360"/>
      </w:pPr>
      <w:rPr>
        <w:rFonts w:ascii="Arial" w:hAnsi="Arial" w:hint="default"/>
      </w:rPr>
    </w:lvl>
    <w:lvl w:ilvl="2" w:tplc="74A20CE2" w:tentative="1">
      <w:start w:val="1"/>
      <w:numFmt w:val="bullet"/>
      <w:lvlText w:val="•"/>
      <w:lvlJc w:val="left"/>
      <w:pPr>
        <w:tabs>
          <w:tab w:val="num" w:pos="2160"/>
        </w:tabs>
        <w:ind w:left="2160" w:hanging="360"/>
      </w:pPr>
      <w:rPr>
        <w:rFonts w:ascii="Arial" w:hAnsi="Arial" w:hint="default"/>
      </w:rPr>
    </w:lvl>
    <w:lvl w:ilvl="3" w:tplc="883E446E" w:tentative="1">
      <w:start w:val="1"/>
      <w:numFmt w:val="bullet"/>
      <w:lvlText w:val="•"/>
      <w:lvlJc w:val="left"/>
      <w:pPr>
        <w:tabs>
          <w:tab w:val="num" w:pos="2880"/>
        </w:tabs>
        <w:ind w:left="2880" w:hanging="360"/>
      </w:pPr>
      <w:rPr>
        <w:rFonts w:ascii="Arial" w:hAnsi="Arial" w:hint="default"/>
      </w:rPr>
    </w:lvl>
    <w:lvl w:ilvl="4" w:tplc="B576FEA0" w:tentative="1">
      <w:start w:val="1"/>
      <w:numFmt w:val="bullet"/>
      <w:lvlText w:val="•"/>
      <w:lvlJc w:val="left"/>
      <w:pPr>
        <w:tabs>
          <w:tab w:val="num" w:pos="3600"/>
        </w:tabs>
        <w:ind w:left="3600" w:hanging="360"/>
      </w:pPr>
      <w:rPr>
        <w:rFonts w:ascii="Arial" w:hAnsi="Arial" w:hint="default"/>
      </w:rPr>
    </w:lvl>
    <w:lvl w:ilvl="5" w:tplc="E5B04E1A" w:tentative="1">
      <w:start w:val="1"/>
      <w:numFmt w:val="bullet"/>
      <w:lvlText w:val="•"/>
      <w:lvlJc w:val="left"/>
      <w:pPr>
        <w:tabs>
          <w:tab w:val="num" w:pos="4320"/>
        </w:tabs>
        <w:ind w:left="4320" w:hanging="360"/>
      </w:pPr>
      <w:rPr>
        <w:rFonts w:ascii="Arial" w:hAnsi="Arial" w:hint="default"/>
      </w:rPr>
    </w:lvl>
    <w:lvl w:ilvl="6" w:tplc="A5461330" w:tentative="1">
      <w:start w:val="1"/>
      <w:numFmt w:val="bullet"/>
      <w:lvlText w:val="•"/>
      <w:lvlJc w:val="left"/>
      <w:pPr>
        <w:tabs>
          <w:tab w:val="num" w:pos="5040"/>
        </w:tabs>
        <w:ind w:left="5040" w:hanging="360"/>
      </w:pPr>
      <w:rPr>
        <w:rFonts w:ascii="Arial" w:hAnsi="Arial" w:hint="default"/>
      </w:rPr>
    </w:lvl>
    <w:lvl w:ilvl="7" w:tplc="8C900D96" w:tentative="1">
      <w:start w:val="1"/>
      <w:numFmt w:val="bullet"/>
      <w:lvlText w:val="•"/>
      <w:lvlJc w:val="left"/>
      <w:pPr>
        <w:tabs>
          <w:tab w:val="num" w:pos="5760"/>
        </w:tabs>
        <w:ind w:left="5760" w:hanging="360"/>
      </w:pPr>
      <w:rPr>
        <w:rFonts w:ascii="Arial" w:hAnsi="Arial" w:hint="default"/>
      </w:rPr>
    </w:lvl>
    <w:lvl w:ilvl="8" w:tplc="ABF458E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8D5538D"/>
    <w:multiLevelType w:val="hybridMultilevel"/>
    <w:tmpl w:val="FE4AE37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7E9912D9"/>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1"/>
  </w:num>
  <w:num w:numId="2">
    <w:abstractNumId w:val="17"/>
  </w:num>
  <w:num w:numId="3">
    <w:abstractNumId w:val="4"/>
  </w:num>
  <w:num w:numId="4">
    <w:abstractNumId w:val="13"/>
  </w:num>
  <w:num w:numId="5">
    <w:abstractNumId w:val="8"/>
  </w:num>
  <w:num w:numId="6">
    <w:abstractNumId w:val="7"/>
  </w:num>
  <w:num w:numId="7">
    <w:abstractNumId w:val="12"/>
  </w:num>
  <w:num w:numId="8">
    <w:abstractNumId w:val="6"/>
  </w:num>
  <w:num w:numId="9">
    <w:abstractNumId w:val="14"/>
  </w:num>
  <w:num w:numId="10">
    <w:abstractNumId w:val="3"/>
  </w:num>
  <w:num w:numId="11">
    <w:abstractNumId w:val="13"/>
  </w:num>
  <w:num w:numId="12">
    <w:abstractNumId w:val="10"/>
  </w:num>
  <w:num w:numId="13">
    <w:abstractNumId w:val="5"/>
  </w:num>
  <w:num w:numId="14">
    <w:abstractNumId w:val="0"/>
  </w:num>
  <w:num w:numId="15">
    <w:abstractNumId w:val="1"/>
  </w:num>
  <w:num w:numId="1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num>
  <w:num w:numId="18">
    <w:abstractNumId w:val="14"/>
  </w:num>
  <w:num w:numId="19">
    <w:abstractNumId w:val="15"/>
  </w:num>
  <w:num w:numId="20">
    <w:abstractNumId w:val="13"/>
  </w:num>
  <w:num w:numId="21">
    <w:abstractNumId w:val="13"/>
  </w:num>
  <w:num w:numId="22">
    <w:abstractNumId w:val="13"/>
  </w:num>
  <w:num w:numId="23">
    <w:abstractNumId w:val="14"/>
  </w:num>
  <w:num w:numId="2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num>
  <w:num w:numId="26">
    <w:abstractNumId w:val="1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PersonalInformation/>
  <w:removeDateAndTime/>
  <w:hideSpellingErrors/>
  <w:hideGrammaticalErrors/>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clickAndTypeStyle w:val="BodyText"/>
  <w:characterSpacingControl w:val="doNotCompress"/>
  <w:hdrShapeDefaults>
    <o:shapedefaults v:ext="edit" spidmax="2539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4600"/>
    <w:rsid w:val="00002F55"/>
    <w:rsid w:val="000036F1"/>
    <w:rsid w:val="00003B81"/>
    <w:rsid w:val="00004365"/>
    <w:rsid w:val="00004BF6"/>
    <w:rsid w:val="00007EBB"/>
    <w:rsid w:val="00010CAE"/>
    <w:rsid w:val="0001161C"/>
    <w:rsid w:val="00011BE7"/>
    <w:rsid w:val="000122D8"/>
    <w:rsid w:val="00013F4A"/>
    <w:rsid w:val="0001737C"/>
    <w:rsid w:val="000174BE"/>
    <w:rsid w:val="00022BB9"/>
    <w:rsid w:val="000238B9"/>
    <w:rsid w:val="00025F31"/>
    <w:rsid w:val="0002648C"/>
    <w:rsid w:val="00033CF4"/>
    <w:rsid w:val="00035325"/>
    <w:rsid w:val="000358E7"/>
    <w:rsid w:val="00036EED"/>
    <w:rsid w:val="000371B7"/>
    <w:rsid w:val="000378B5"/>
    <w:rsid w:val="00037B42"/>
    <w:rsid w:val="00040EA4"/>
    <w:rsid w:val="00041FE3"/>
    <w:rsid w:val="00043051"/>
    <w:rsid w:val="00043D9E"/>
    <w:rsid w:val="00043E4F"/>
    <w:rsid w:val="000441D1"/>
    <w:rsid w:val="00047373"/>
    <w:rsid w:val="00047E7D"/>
    <w:rsid w:val="0005162D"/>
    <w:rsid w:val="00053769"/>
    <w:rsid w:val="0005753A"/>
    <w:rsid w:val="000579A1"/>
    <w:rsid w:val="00060184"/>
    <w:rsid w:val="00060581"/>
    <w:rsid w:val="00060761"/>
    <w:rsid w:val="000607D0"/>
    <w:rsid w:val="00060CBB"/>
    <w:rsid w:val="00060CE1"/>
    <w:rsid w:val="000618FB"/>
    <w:rsid w:val="00061A48"/>
    <w:rsid w:val="00063B16"/>
    <w:rsid w:val="00063C89"/>
    <w:rsid w:val="000641E0"/>
    <w:rsid w:val="0006492D"/>
    <w:rsid w:val="000669FD"/>
    <w:rsid w:val="000678FE"/>
    <w:rsid w:val="000704A3"/>
    <w:rsid w:val="00070749"/>
    <w:rsid w:val="0007137D"/>
    <w:rsid w:val="000728D2"/>
    <w:rsid w:val="00080B6B"/>
    <w:rsid w:val="00081F0D"/>
    <w:rsid w:val="00082BF4"/>
    <w:rsid w:val="00082FE6"/>
    <w:rsid w:val="00083215"/>
    <w:rsid w:val="000835C5"/>
    <w:rsid w:val="00086E77"/>
    <w:rsid w:val="00090174"/>
    <w:rsid w:val="000904D3"/>
    <w:rsid w:val="00090A5F"/>
    <w:rsid w:val="000920D2"/>
    <w:rsid w:val="000939AB"/>
    <w:rsid w:val="00094259"/>
    <w:rsid w:val="000953A6"/>
    <w:rsid w:val="00095DEC"/>
    <w:rsid w:val="0009692F"/>
    <w:rsid w:val="0009772F"/>
    <w:rsid w:val="000A011E"/>
    <w:rsid w:val="000A1E4D"/>
    <w:rsid w:val="000A29BA"/>
    <w:rsid w:val="000A3D7F"/>
    <w:rsid w:val="000A4E45"/>
    <w:rsid w:val="000A5452"/>
    <w:rsid w:val="000A5CFF"/>
    <w:rsid w:val="000A5D4A"/>
    <w:rsid w:val="000A6003"/>
    <w:rsid w:val="000A63C0"/>
    <w:rsid w:val="000A6F5B"/>
    <w:rsid w:val="000B1CBB"/>
    <w:rsid w:val="000B279E"/>
    <w:rsid w:val="000B2C1B"/>
    <w:rsid w:val="000B2C25"/>
    <w:rsid w:val="000B410D"/>
    <w:rsid w:val="000B7F7A"/>
    <w:rsid w:val="000C00EB"/>
    <w:rsid w:val="000C03CF"/>
    <w:rsid w:val="000C0DD7"/>
    <w:rsid w:val="000C2995"/>
    <w:rsid w:val="000C2D86"/>
    <w:rsid w:val="000C3C45"/>
    <w:rsid w:val="000C4B9C"/>
    <w:rsid w:val="000C4C40"/>
    <w:rsid w:val="000C5C3C"/>
    <w:rsid w:val="000C6AD6"/>
    <w:rsid w:val="000C700E"/>
    <w:rsid w:val="000D0088"/>
    <w:rsid w:val="000D33DA"/>
    <w:rsid w:val="000D352D"/>
    <w:rsid w:val="000D5123"/>
    <w:rsid w:val="000D5BDE"/>
    <w:rsid w:val="000E133A"/>
    <w:rsid w:val="000E1992"/>
    <w:rsid w:val="000E2383"/>
    <w:rsid w:val="000E415F"/>
    <w:rsid w:val="000E65A6"/>
    <w:rsid w:val="000F0E5C"/>
    <w:rsid w:val="000F66A7"/>
    <w:rsid w:val="000F7004"/>
    <w:rsid w:val="00100B74"/>
    <w:rsid w:val="00101763"/>
    <w:rsid w:val="00101A29"/>
    <w:rsid w:val="00106E07"/>
    <w:rsid w:val="00107A3F"/>
    <w:rsid w:val="00112208"/>
    <w:rsid w:val="00112742"/>
    <w:rsid w:val="00112C43"/>
    <w:rsid w:val="00113EF2"/>
    <w:rsid w:val="00114BB1"/>
    <w:rsid w:val="001150BE"/>
    <w:rsid w:val="00115ED2"/>
    <w:rsid w:val="0011640A"/>
    <w:rsid w:val="00116CE1"/>
    <w:rsid w:val="0012045F"/>
    <w:rsid w:val="00120E94"/>
    <w:rsid w:val="00120EF1"/>
    <w:rsid w:val="001215EA"/>
    <w:rsid w:val="00123630"/>
    <w:rsid w:val="001243D4"/>
    <w:rsid w:val="001258D4"/>
    <w:rsid w:val="00125971"/>
    <w:rsid w:val="0013066A"/>
    <w:rsid w:val="00133A25"/>
    <w:rsid w:val="00134A8F"/>
    <w:rsid w:val="00134B28"/>
    <w:rsid w:val="00135E19"/>
    <w:rsid w:val="00137336"/>
    <w:rsid w:val="00137A38"/>
    <w:rsid w:val="0014010B"/>
    <w:rsid w:val="001432FA"/>
    <w:rsid w:val="00143420"/>
    <w:rsid w:val="00146897"/>
    <w:rsid w:val="00146DD2"/>
    <w:rsid w:val="00146FC9"/>
    <w:rsid w:val="0015000D"/>
    <w:rsid w:val="001517A1"/>
    <w:rsid w:val="00153764"/>
    <w:rsid w:val="00156B5B"/>
    <w:rsid w:val="00157B85"/>
    <w:rsid w:val="00161C2E"/>
    <w:rsid w:val="00161D4D"/>
    <w:rsid w:val="001636DF"/>
    <w:rsid w:val="00163D6E"/>
    <w:rsid w:val="00164CDF"/>
    <w:rsid w:val="001658D2"/>
    <w:rsid w:val="00166576"/>
    <w:rsid w:val="00166996"/>
    <w:rsid w:val="00166C79"/>
    <w:rsid w:val="001722C6"/>
    <w:rsid w:val="0017293E"/>
    <w:rsid w:val="00174624"/>
    <w:rsid w:val="00176370"/>
    <w:rsid w:val="001779D4"/>
    <w:rsid w:val="00180BD2"/>
    <w:rsid w:val="00180E4F"/>
    <w:rsid w:val="001811A7"/>
    <w:rsid w:val="00182B15"/>
    <w:rsid w:val="001837AF"/>
    <w:rsid w:val="00183AD6"/>
    <w:rsid w:val="00186D3D"/>
    <w:rsid w:val="00193747"/>
    <w:rsid w:val="00195C83"/>
    <w:rsid w:val="001A0776"/>
    <w:rsid w:val="001A1C0D"/>
    <w:rsid w:val="001A322A"/>
    <w:rsid w:val="001A3451"/>
    <w:rsid w:val="001A4B97"/>
    <w:rsid w:val="001A6352"/>
    <w:rsid w:val="001A77A2"/>
    <w:rsid w:val="001B032F"/>
    <w:rsid w:val="001B345E"/>
    <w:rsid w:val="001B49C6"/>
    <w:rsid w:val="001B54B9"/>
    <w:rsid w:val="001B54EA"/>
    <w:rsid w:val="001B6554"/>
    <w:rsid w:val="001B7214"/>
    <w:rsid w:val="001C1858"/>
    <w:rsid w:val="001C4733"/>
    <w:rsid w:val="001C4FFC"/>
    <w:rsid w:val="001C5291"/>
    <w:rsid w:val="001C5AF7"/>
    <w:rsid w:val="001C6D56"/>
    <w:rsid w:val="001C7650"/>
    <w:rsid w:val="001D07A5"/>
    <w:rsid w:val="001D1B60"/>
    <w:rsid w:val="001D1E36"/>
    <w:rsid w:val="001D204F"/>
    <w:rsid w:val="001D2E2D"/>
    <w:rsid w:val="001D4374"/>
    <w:rsid w:val="001D4CA6"/>
    <w:rsid w:val="001D51D7"/>
    <w:rsid w:val="001D5748"/>
    <w:rsid w:val="001E0398"/>
    <w:rsid w:val="001E0BFC"/>
    <w:rsid w:val="001E2136"/>
    <w:rsid w:val="001E322F"/>
    <w:rsid w:val="001E3FC3"/>
    <w:rsid w:val="001E4942"/>
    <w:rsid w:val="001F1E08"/>
    <w:rsid w:val="001F1E5D"/>
    <w:rsid w:val="001F1F3C"/>
    <w:rsid w:val="001F29A6"/>
    <w:rsid w:val="001F2EB3"/>
    <w:rsid w:val="001F4600"/>
    <w:rsid w:val="001F551B"/>
    <w:rsid w:val="001F5777"/>
    <w:rsid w:val="001F5BC1"/>
    <w:rsid w:val="001F5F85"/>
    <w:rsid w:val="001F61C6"/>
    <w:rsid w:val="001F6FAB"/>
    <w:rsid w:val="001F7477"/>
    <w:rsid w:val="002010AB"/>
    <w:rsid w:val="00201661"/>
    <w:rsid w:val="002057BA"/>
    <w:rsid w:val="002074BE"/>
    <w:rsid w:val="002076C8"/>
    <w:rsid w:val="00207D37"/>
    <w:rsid w:val="00207F42"/>
    <w:rsid w:val="002104AB"/>
    <w:rsid w:val="00210945"/>
    <w:rsid w:val="00214241"/>
    <w:rsid w:val="00214EA3"/>
    <w:rsid w:val="00215E31"/>
    <w:rsid w:val="00221E24"/>
    <w:rsid w:val="0022378D"/>
    <w:rsid w:val="00225088"/>
    <w:rsid w:val="00225842"/>
    <w:rsid w:val="0023159E"/>
    <w:rsid w:val="002341AC"/>
    <w:rsid w:val="00234CEA"/>
    <w:rsid w:val="00235E8F"/>
    <w:rsid w:val="0023714C"/>
    <w:rsid w:val="00237802"/>
    <w:rsid w:val="00237C0E"/>
    <w:rsid w:val="002400CF"/>
    <w:rsid w:val="00243AF9"/>
    <w:rsid w:val="002449C7"/>
    <w:rsid w:val="00246F21"/>
    <w:rsid w:val="002472D3"/>
    <w:rsid w:val="00251254"/>
    <w:rsid w:val="00252C28"/>
    <w:rsid w:val="00255577"/>
    <w:rsid w:val="00255773"/>
    <w:rsid w:val="00256BD3"/>
    <w:rsid w:val="00264D6F"/>
    <w:rsid w:val="0026576F"/>
    <w:rsid w:val="0026658D"/>
    <w:rsid w:val="00267507"/>
    <w:rsid w:val="00271C7F"/>
    <w:rsid w:val="00272952"/>
    <w:rsid w:val="002757A5"/>
    <w:rsid w:val="00275A25"/>
    <w:rsid w:val="00277E24"/>
    <w:rsid w:val="00280EB9"/>
    <w:rsid w:val="0028172C"/>
    <w:rsid w:val="00283EC0"/>
    <w:rsid w:val="0028511C"/>
    <w:rsid w:val="00285A2F"/>
    <w:rsid w:val="002866DE"/>
    <w:rsid w:val="00287846"/>
    <w:rsid w:val="00291469"/>
    <w:rsid w:val="0029234D"/>
    <w:rsid w:val="00292AE8"/>
    <w:rsid w:val="00294243"/>
    <w:rsid w:val="00294381"/>
    <w:rsid w:val="00294F34"/>
    <w:rsid w:val="00294FA1"/>
    <w:rsid w:val="00296B28"/>
    <w:rsid w:val="002A26EE"/>
    <w:rsid w:val="002A33E7"/>
    <w:rsid w:val="002A4487"/>
    <w:rsid w:val="002A58FD"/>
    <w:rsid w:val="002A6979"/>
    <w:rsid w:val="002A7F2D"/>
    <w:rsid w:val="002B1DD2"/>
    <w:rsid w:val="002B3220"/>
    <w:rsid w:val="002B32A8"/>
    <w:rsid w:val="002C1206"/>
    <w:rsid w:val="002C1FCF"/>
    <w:rsid w:val="002C2E9D"/>
    <w:rsid w:val="002C32BB"/>
    <w:rsid w:val="002C360C"/>
    <w:rsid w:val="002C4301"/>
    <w:rsid w:val="002C66CF"/>
    <w:rsid w:val="002D0127"/>
    <w:rsid w:val="002D322E"/>
    <w:rsid w:val="002D4188"/>
    <w:rsid w:val="002D4DC6"/>
    <w:rsid w:val="002D56BA"/>
    <w:rsid w:val="002D5C65"/>
    <w:rsid w:val="002D69D2"/>
    <w:rsid w:val="002E3270"/>
    <w:rsid w:val="002E37A1"/>
    <w:rsid w:val="002E43BD"/>
    <w:rsid w:val="002E47E4"/>
    <w:rsid w:val="002E7CE7"/>
    <w:rsid w:val="002F0EEF"/>
    <w:rsid w:val="002F111A"/>
    <w:rsid w:val="002F171E"/>
    <w:rsid w:val="002F2208"/>
    <w:rsid w:val="002F487F"/>
    <w:rsid w:val="002F56B8"/>
    <w:rsid w:val="002F56EE"/>
    <w:rsid w:val="002F69AC"/>
    <w:rsid w:val="002F753B"/>
    <w:rsid w:val="002F7BEF"/>
    <w:rsid w:val="003006C7"/>
    <w:rsid w:val="003008F0"/>
    <w:rsid w:val="00300DC3"/>
    <w:rsid w:val="00301D88"/>
    <w:rsid w:val="0030442F"/>
    <w:rsid w:val="0030640A"/>
    <w:rsid w:val="00307AD6"/>
    <w:rsid w:val="00310CA5"/>
    <w:rsid w:val="00311A07"/>
    <w:rsid w:val="00311B71"/>
    <w:rsid w:val="0031343C"/>
    <w:rsid w:val="00315AE5"/>
    <w:rsid w:val="00315B65"/>
    <w:rsid w:val="00315C5C"/>
    <w:rsid w:val="00317105"/>
    <w:rsid w:val="00322656"/>
    <w:rsid w:val="0032326A"/>
    <w:rsid w:val="00323F2D"/>
    <w:rsid w:val="003243C4"/>
    <w:rsid w:val="00330F3C"/>
    <w:rsid w:val="003322B1"/>
    <w:rsid w:val="003323AF"/>
    <w:rsid w:val="0033249C"/>
    <w:rsid w:val="003348D2"/>
    <w:rsid w:val="003375EA"/>
    <w:rsid w:val="00337C22"/>
    <w:rsid w:val="00340E62"/>
    <w:rsid w:val="00341044"/>
    <w:rsid w:val="0034277A"/>
    <w:rsid w:val="00342AED"/>
    <w:rsid w:val="00344000"/>
    <w:rsid w:val="00345516"/>
    <w:rsid w:val="00345B6B"/>
    <w:rsid w:val="00347A7F"/>
    <w:rsid w:val="003501FB"/>
    <w:rsid w:val="00350887"/>
    <w:rsid w:val="00350C19"/>
    <w:rsid w:val="00351AF6"/>
    <w:rsid w:val="00351C13"/>
    <w:rsid w:val="00352356"/>
    <w:rsid w:val="00354E7E"/>
    <w:rsid w:val="00354EA2"/>
    <w:rsid w:val="003567B9"/>
    <w:rsid w:val="003578A6"/>
    <w:rsid w:val="00361011"/>
    <w:rsid w:val="003641D9"/>
    <w:rsid w:val="00364BAD"/>
    <w:rsid w:val="003652D8"/>
    <w:rsid w:val="00370CD0"/>
    <w:rsid w:val="003712D9"/>
    <w:rsid w:val="0037456E"/>
    <w:rsid w:val="003750EE"/>
    <w:rsid w:val="003757A5"/>
    <w:rsid w:val="0037708E"/>
    <w:rsid w:val="00377340"/>
    <w:rsid w:val="00382BE7"/>
    <w:rsid w:val="00383E95"/>
    <w:rsid w:val="00384B06"/>
    <w:rsid w:val="003857D1"/>
    <w:rsid w:val="00385BB6"/>
    <w:rsid w:val="00386C07"/>
    <w:rsid w:val="00387F73"/>
    <w:rsid w:val="00390B12"/>
    <w:rsid w:val="00390F3C"/>
    <w:rsid w:val="00392FBA"/>
    <w:rsid w:val="0039432A"/>
    <w:rsid w:val="003951B4"/>
    <w:rsid w:val="00395E48"/>
    <w:rsid w:val="003960C5"/>
    <w:rsid w:val="00396E87"/>
    <w:rsid w:val="003A095B"/>
    <w:rsid w:val="003A0C78"/>
    <w:rsid w:val="003A253A"/>
    <w:rsid w:val="003A33D9"/>
    <w:rsid w:val="003A564E"/>
    <w:rsid w:val="003A6DCE"/>
    <w:rsid w:val="003B12F3"/>
    <w:rsid w:val="003B141B"/>
    <w:rsid w:val="003B3DF8"/>
    <w:rsid w:val="003B4FDF"/>
    <w:rsid w:val="003B6D80"/>
    <w:rsid w:val="003B7048"/>
    <w:rsid w:val="003B7ABC"/>
    <w:rsid w:val="003C0FAA"/>
    <w:rsid w:val="003C4824"/>
    <w:rsid w:val="003C5819"/>
    <w:rsid w:val="003C587D"/>
    <w:rsid w:val="003C59C0"/>
    <w:rsid w:val="003C69BC"/>
    <w:rsid w:val="003D0E4F"/>
    <w:rsid w:val="003D1CCE"/>
    <w:rsid w:val="003D4322"/>
    <w:rsid w:val="003D440F"/>
    <w:rsid w:val="003D7074"/>
    <w:rsid w:val="003E1DC8"/>
    <w:rsid w:val="003E32D9"/>
    <w:rsid w:val="003E3FB5"/>
    <w:rsid w:val="003E6A89"/>
    <w:rsid w:val="003E7D88"/>
    <w:rsid w:val="003F2CCE"/>
    <w:rsid w:val="003F5DA2"/>
    <w:rsid w:val="003F7E51"/>
    <w:rsid w:val="00404C0B"/>
    <w:rsid w:val="0040653A"/>
    <w:rsid w:val="00407BFB"/>
    <w:rsid w:val="00410B42"/>
    <w:rsid w:val="0041256E"/>
    <w:rsid w:val="004137CE"/>
    <w:rsid w:val="00414B6E"/>
    <w:rsid w:val="0041534D"/>
    <w:rsid w:val="004235A9"/>
    <w:rsid w:val="00423FA7"/>
    <w:rsid w:val="004241EB"/>
    <w:rsid w:val="004245FA"/>
    <w:rsid w:val="004253A5"/>
    <w:rsid w:val="004261CC"/>
    <w:rsid w:val="00426883"/>
    <w:rsid w:val="00426AE8"/>
    <w:rsid w:val="00430B37"/>
    <w:rsid w:val="00430E39"/>
    <w:rsid w:val="00431C6A"/>
    <w:rsid w:val="004327C2"/>
    <w:rsid w:val="00432ABB"/>
    <w:rsid w:val="00432E3A"/>
    <w:rsid w:val="00434C78"/>
    <w:rsid w:val="004367F3"/>
    <w:rsid w:val="00441644"/>
    <w:rsid w:val="0044181E"/>
    <w:rsid w:val="0044337A"/>
    <w:rsid w:val="0044360D"/>
    <w:rsid w:val="00443EB4"/>
    <w:rsid w:val="00445DE2"/>
    <w:rsid w:val="00446C1F"/>
    <w:rsid w:val="00446D6C"/>
    <w:rsid w:val="00447193"/>
    <w:rsid w:val="00447B15"/>
    <w:rsid w:val="00450EB7"/>
    <w:rsid w:val="00453DB8"/>
    <w:rsid w:val="004561DA"/>
    <w:rsid w:val="00457D05"/>
    <w:rsid w:val="004627B7"/>
    <w:rsid w:val="0046406C"/>
    <w:rsid w:val="00464C8C"/>
    <w:rsid w:val="00464F71"/>
    <w:rsid w:val="00470142"/>
    <w:rsid w:val="0047180F"/>
    <w:rsid w:val="0047213B"/>
    <w:rsid w:val="0047563C"/>
    <w:rsid w:val="00477C01"/>
    <w:rsid w:val="0048023B"/>
    <w:rsid w:val="00480CAF"/>
    <w:rsid w:val="00481CAF"/>
    <w:rsid w:val="00482ECF"/>
    <w:rsid w:val="00483169"/>
    <w:rsid w:val="00483F96"/>
    <w:rsid w:val="0048578B"/>
    <w:rsid w:val="004862CD"/>
    <w:rsid w:val="00486A81"/>
    <w:rsid w:val="00487DA6"/>
    <w:rsid w:val="004904C7"/>
    <w:rsid w:val="00493446"/>
    <w:rsid w:val="004939EA"/>
    <w:rsid w:val="004942C4"/>
    <w:rsid w:val="00496236"/>
    <w:rsid w:val="00496DA4"/>
    <w:rsid w:val="004A0EE1"/>
    <w:rsid w:val="004A2FBD"/>
    <w:rsid w:val="004A46E3"/>
    <w:rsid w:val="004A5598"/>
    <w:rsid w:val="004A6042"/>
    <w:rsid w:val="004A752B"/>
    <w:rsid w:val="004B0394"/>
    <w:rsid w:val="004B13C5"/>
    <w:rsid w:val="004B2C98"/>
    <w:rsid w:val="004B2FEA"/>
    <w:rsid w:val="004B53E7"/>
    <w:rsid w:val="004B666D"/>
    <w:rsid w:val="004B70E3"/>
    <w:rsid w:val="004B7AEA"/>
    <w:rsid w:val="004C1602"/>
    <w:rsid w:val="004C2892"/>
    <w:rsid w:val="004C41E0"/>
    <w:rsid w:val="004C56A4"/>
    <w:rsid w:val="004C6F3D"/>
    <w:rsid w:val="004D4BEA"/>
    <w:rsid w:val="004D5744"/>
    <w:rsid w:val="004D7C18"/>
    <w:rsid w:val="004E1CA5"/>
    <w:rsid w:val="004E2E6A"/>
    <w:rsid w:val="004E33DE"/>
    <w:rsid w:val="004E3D67"/>
    <w:rsid w:val="004E659A"/>
    <w:rsid w:val="004E7952"/>
    <w:rsid w:val="004F2C76"/>
    <w:rsid w:val="004F50F5"/>
    <w:rsid w:val="004F5FDE"/>
    <w:rsid w:val="004F7D5E"/>
    <w:rsid w:val="00500838"/>
    <w:rsid w:val="005017AC"/>
    <w:rsid w:val="00503C02"/>
    <w:rsid w:val="0050404C"/>
    <w:rsid w:val="00505701"/>
    <w:rsid w:val="00506F78"/>
    <w:rsid w:val="0051017B"/>
    <w:rsid w:val="005106C6"/>
    <w:rsid w:val="00511756"/>
    <w:rsid w:val="005126DB"/>
    <w:rsid w:val="00513589"/>
    <w:rsid w:val="00513F90"/>
    <w:rsid w:val="0051400D"/>
    <w:rsid w:val="005141A1"/>
    <w:rsid w:val="00516A09"/>
    <w:rsid w:val="00516D57"/>
    <w:rsid w:val="00521151"/>
    <w:rsid w:val="00521F6B"/>
    <w:rsid w:val="00522523"/>
    <w:rsid w:val="00522EBD"/>
    <w:rsid w:val="00523B54"/>
    <w:rsid w:val="00524081"/>
    <w:rsid w:val="00525372"/>
    <w:rsid w:val="00525B68"/>
    <w:rsid w:val="00525CAD"/>
    <w:rsid w:val="005265EE"/>
    <w:rsid w:val="00527CD7"/>
    <w:rsid w:val="00532498"/>
    <w:rsid w:val="0053272A"/>
    <w:rsid w:val="005341BB"/>
    <w:rsid w:val="00542F3D"/>
    <w:rsid w:val="005438C3"/>
    <w:rsid w:val="005453E2"/>
    <w:rsid w:val="00552C2C"/>
    <w:rsid w:val="005577F2"/>
    <w:rsid w:val="00561BD8"/>
    <w:rsid w:val="00562463"/>
    <w:rsid w:val="00562489"/>
    <w:rsid w:val="0056297C"/>
    <w:rsid w:val="005660C2"/>
    <w:rsid w:val="00570C8E"/>
    <w:rsid w:val="00573F05"/>
    <w:rsid w:val="00575B42"/>
    <w:rsid w:val="00576504"/>
    <w:rsid w:val="00576B53"/>
    <w:rsid w:val="00580B89"/>
    <w:rsid w:val="00580D41"/>
    <w:rsid w:val="005813AA"/>
    <w:rsid w:val="00581980"/>
    <w:rsid w:val="00585BB3"/>
    <w:rsid w:val="005862E9"/>
    <w:rsid w:val="0058753B"/>
    <w:rsid w:val="00587701"/>
    <w:rsid w:val="00591D20"/>
    <w:rsid w:val="00591E93"/>
    <w:rsid w:val="0059492A"/>
    <w:rsid w:val="005971FA"/>
    <w:rsid w:val="005A39A1"/>
    <w:rsid w:val="005A4AAD"/>
    <w:rsid w:val="005B3185"/>
    <w:rsid w:val="005B3A6C"/>
    <w:rsid w:val="005B45FA"/>
    <w:rsid w:val="005B4A17"/>
    <w:rsid w:val="005B525D"/>
    <w:rsid w:val="005B5A50"/>
    <w:rsid w:val="005C4185"/>
    <w:rsid w:val="005C43CA"/>
    <w:rsid w:val="005C5D37"/>
    <w:rsid w:val="005C6FB9"/>
    <w:rsid w:val="005C741B"/>
    <w:rsid w:val="005D053D"/>
    <w:rsid w:val="005D0BB0"/>
    <w:rsid w:val="005D0DE5"/>
    <w:rsid w:val="005D3502"/>
    <w:rsid w:val="005E0175"/>
    <w:rsid w:val="005E0BB0"/>
    <w:rsid w:val="005E121F"/>
    <w:rsid w:val="005E26E5"/>
    <w:rsid w:val="005E397B"/>
    <w:rsid w:val="005E42F6"/>
    <w:rsid w:val="005E4D5E"/>
    <w:rsid w:val="005E5469"/>
    <w:rsid w:val="005E5471"/>
    <w:rsid w:val="005E5AE3"/>
    <w:rsid w:val="005E68FB"/>
    <w:rsid w:val="005E6AC0"/>
    <w:rsid w:val="005E7981"/>
    <w:rsid w:val="005F4627"/>
    <w:rsid w:val="005F5226"/>
    <w:rsid w:val="005F5D85"/>
    <w:rsid w:val="005F64F9"/>
    <w:rsid w:val="005F74B5"/>
    <w:rsid w:val="0060060D"/>
    <w:rsid w:val="00602A5D"/>
    <w:rsid w:val="006039A8"/>
    <w:rsid w:val="00603F30"/>
    <w:rsid w:val="00604241"/>
    <w:rsid w:val="006043C0"/>
    <w:rsid w:val="006045FC"/>
    <w:rsid w:val="0060513C"/>
    <w:rsid w:val="00606A78"/>
    <w:rsid w:val="00607D93"/>
    <w:rsid w:val="00611312"/>
    <w:rsid w:val="0061140B"/>
    <w:rsid w:val="006128D9"/>
    <w:rsid w:val="00612C27"/>
    <w:rsid w:val="0061373A"/>
    <w:rsid w:val="00615754"/>
    <w:rsid w:val="00616786"/>
    <w:rsid w:val="006169F9"/>
    <w:rsid w:val="00616A03"/>
    <w:rsid w:val="00617899"/>
    <w:rsid w:val="00620945"/>
    <w:rsid w:val="006246F5"/>
    <w:rsid w:val="00626E53"/>
    <w:rsid w:val="006321E5"/>
    <w:rsid w:val="00632B3C"/>
    <w:rsid w:val="00632C94"/>
    <w:rsid w:val="006337E4"/>
    <w:rsid w:val="006346A5"/>
    <w:rsid w:val="006370E6"/>
    <w:rsid w:val="00640B00"/>
    <w:rsid w:val="00641BBD"/>
    <w:rsid w:val="00642121"/>
    <w:rsid w:val="006446EF"/>
    <w:rsid w:val="00646834"/>
    <w:rsid w:val="00647C6D"/>
    <w:rsid w:val="00647FFE"/>
    <w:rsid w:val="0065093E"/>
    <w:rsid w:val="006520AD"/>
    <w:rsid w:val="0065213F"/>
    <w:rsid w:val="00652811"/>
    <w:rsid w:val="00652C18"/>
    <w:rsid w:val="00653FA9"/>
    <w:rsid w:val="0065696F"/>
    <w:rsid w:val="00662989"/>
    <w:rsid w:val="006652E1"/>
    <w:rsid w:val="00665B3D"/>
    <w:rsid w:val="00667356"/>
    <w:rsid w:val="00670810"/>
    <w:rsid w:val="006721A2"/>
    <w:rsid w:val="006723B8"/>
    <w:rsid w:val="00672832"/>
    <w:rsid w:val="00675346"/>
    <w:rsid w:val="00675B10"/>
    <w:rsid w:val="00676721"/>
    <w:rsid w:val="00676F30"/>
    <w:rsid w:val="00677D66"/>
    <w:rsid w:val="006837BC"/>
    <w:rsid w:val="00685F6E"/>
    <w:rsid w:val="006860D1"/>
    <w:rsid w:val="006877C2"/>
    <w:rsid w:val="00687FF3"/>
    <w:rsid w:val="00690F95"/>
    <w:rsid w:val="006915ED"/>
    <w:rsid w:val="00693A88"/>
    <w:rsid w:val="00693E60"/>
    <w:rsid w:val="0069435C"/>
    <w:rsid w:val="006A12D8"/>
    <w:rsid w:val="006A20E2"/>
    <w:rsid w:val="006A25A2"/>
    <w:rsid w:val="006A3983"/>
    <w:rsid w:val="006A553E"/>
    <w:rsid w:val="006A6873"/>
    <w:rsid w:val="006B2691"/>
    <w:rsid w:val="006B4289"/>
    <w:rsid w:val="006B5713"/>
    <w:rsid w:val="006C0A8C"/>
    <w:rsid w:val="006C11EB"/>
    <w:rsid w:val="006C1219"/>
    <w:rsid w:val="006C20D8"/>
    <w:rsid w:val="006C295D"/>
    <w:rsid w:val="006C5B34"/>
    <w:rsid w:val="006C5E1A"/>
    <w:rsid w:val="006C604E"/>
    <w:rsid w:val="006D1CB1"/>
    <w:rsid w:val="006D2ADC"/>
    <w:rsid w:val="006D2D7B"/>
    <w:rsid w:val="006D3274"/>
    <w:rsid w:val="006D6085"/>
    <w:rsid w:val="006D6C5F"/>
    <w:rsid w:val="006D7511"/>
    <w:rsid w:val="006D7B80"/>
    <w:rsid w:val="006D7DA2"/>
    <w:rsid w:val="006E1824"/>
    <w:rsid w:val="006E4627"/>
    <w:rsid w:val="006E70B9"/>
    <w:rsid w:val="006F1F8D"/>
    <w:rsid w:val="006F398D"/>
    <w:rsid w:val="006F56D5"/>
    <w:rsid w:val="00701722"/>
    <w:rsid w:val="00703105"/>
    <w:rsid w:val="007031C2"/>
    <w:rsid w:val="00705CD9"/>
    <w:rsid w:val="00705E9B"/>
    <w:rsid w:val="00707F01"/>
    <w:rsid w:val="00710CC3"/>
    <w:rsid w:val="00712F84"/>
    <w:rsid w:val="00714246"/>
    <w:rsid w:val="0072293B"/>
    <w:rsid w:val="00722986"/>
    <w:rsid w:val="00724CE8"/>
    <w:rsid w:val="00727D3D"/>
    <w:rsid w:val="007304B9"/>
    <w:rsid w:val="007316BF"/>
    <w:rsid w:val="00732BB5"/>
    <w:rsid w:val="0073384B"/>
    <w:rsid w:val="00735689"/>
    <w:rsid w:val="0073578C"/>
    <w:rsid w:val="00737CDF"/>
    <w:rsid w:val="00742B0D"/>
    <w:rsid w:val="00743577"/>
    <w:rsid w:val="00745097"/>
    <w:rsid w:val="00746272"/>
    <w:rsid w:val="00746291"/>
    <w:rsid w:val="00746DCC"/>
    <w:rsid w:val="00747A05"/>
    <w:rsid w:val="00750B38"/>
    <w:rsid w:val="00751128"/>
    <w:rsid w:val="00752049"/>
    <w:rsid w:val="007529B4"/>
    <w:rsid w:val="00753C16"/>
    <w:rsid w:val="00754211"/>
    <w:rsid w:val="0075424B"/>
    <w:rsid w:val="0075464D"/>
    <w:rsid w:val="00754819"/>
    <w:rsid w:val="007558DE"/>
    <w:rsid w:val="007573EC"/>
    <w:rsid w:val="007602FD"/>
    <w:rsid w:val="007619F4"/>
    <w:rsid w:val="007645E8"/>
    <w:rsid w:val="00765582"/>
    <w:rsid w:val="007669F7"/>
    <w:rsid w:val="00766E58"/>
    <w:rsid w:val="00767248"/>
    <w:rsid w:val="007675A7"/>
    <w:rsid w:val="007719E5"/>
    <w:rsid w:val="0077242C"/>
    <w:rsid w:val="007739B2"/>
    <w:rsid w:val="00776352"/>
    <w:rsid w:val="007765E4"/>
    <w:rsid w:val="007812AE"/>
    <w:rsid w:val="00782036"/>
    <w:rsid w:val="00782F4E"/>
    <w:rsid w:val="00783DC6"/>
    <w:rsid w:val="0079042C"/>
    <w:rsid w:val="00790447"/>
    <w:rsid w:val="0079046B"/>
    <w:rsid w:val="00790D5F"/>
    <w:rsid w:val="00792D85"/>
    <w:rsid w:val="00793239"/>
    <w:rsid w:val="0079427E"/>
    <w:rsid w:val="00795CA9"/>
    <w:rsid w:val="00796467"/>
    <w:rsid w:val="00797186"/>
    <w:rsid w:val="00797972"/>
    <w:rsid w:val="00797F8E"/>
    <w:rsid w:val="007A4BCC"/>
    <w:rsid w:val="007A59E6"/>
    <w:rsid w:val="007A6224"/>
    <w:rsid w:val="007A7202"/>
    <w:rsid w:val="007A7D5A"/>
    <w:rsid w:val="007B0DDB"/>
    <w:rsid w:val="007B21B0"/>
    <w:rsid w:val="007B2243"/>
    <w:rsid w:val="007B24F6"/>
    <w:rsid w:val="007B2D68"/>
    <w:rsid w:val="007B3AAC"/>
    <w:rsid w:val="007B4061"/>
    <w:rsid w:val="007B5574"/>
    <w:rsid w:val="007C0034"/>
    <w:rsid w:val="007C6F2D"/>
    <w:rsid w:val="007D035C"/>
    <w:rsid w:val="007D116F"/>
    <w:rsid w:val="007D1533"/>
    <w:rsid w:val="007D7031"/>
    <w:rsid w:val="007D7D86"/>
    <w:rsid w:val="007E0099"/>
    <w:rsid w:val="007E2689"/>
    <w:rsid w:val="007E7220"/>
    <w:rsid w:val="007F04D2"/>
    <w:rsid w:val="007F04ED"/>
    <w:rsid w:val="007F13C4"/>
    <w:rsid w:val="007F194E"/>
    <w:rsid w:val="007F75D3"/>
    <w:rsid w:val="00800071"/>
    <w:rsid w:val="008006BA"/>
    <w:rsid w:val="00802621"/>
    <w:rsid w:val="008045CC"/>
    <w:rsid w:val="008057E6"/>
    <w:rsid w:val="00810F3D"/>
    <w:rsid w:val="00811310"/>
    <w:rsid w:val="00811315"/>
    <w:rsid w:val="00811498"/>
    <w:rsid w:val="008117FA"/>
    <w:rsid w:val="00811B05"/>
    <w:rsid w:val="008174F6"/>
    <w:rsid w:val="00817A6A"/>
    <w:rsid w:val="00817AD6"/>
    <w:rsid w:val="00817F02"/>
    <w:rsid w:val="00820F49"/>
    <w:rsid w:val="00821FE1"/>
    <w:rsid w:val="008233B0"/>
    <w:rsid w:val="0082355B"/>
    <w:rsid w:val="00823AE6"/>
    <w:rsid w:val="00823F43"/>
    <w:rsid w:val="00824A87"/>
    <w:rsid w:val="0082573A"/>
    <w:rsid w:val="00832CAA"/>
    <w:rsid w:val="00833337"/>
    <w:rsid w:val="0083348B"/>
    <w:rsid w:val="008338C6"/>
    <w:rsid w:val="00835DA8"/>
    <w:rsid w:val="008367B8"/>
    <w:rsid w:val="00836BF4"/>
    <w:rsid w:val="008449C8"/>
    <w:rsid w:val="00847122"/>
    <w:rsid w:val="00850C5D"/>
    <w:rsid w:val="008515B0"/>
    <w:rsid w:val="008535E2"/>
    <w:rsid w:val="00854E6D"/>
    <w:rsid w:val="00855085"/>
    <w:rsid w:val="00855182"/>
    <w:rsid w:val="00855313"/>
    <w:rsid w:val="00860C4F"/>
    <w:rsid w:val="00861B19"/>
    <w:rsid w:val="008620BF"/>
    <w:rsid w:val="00864A60"/>
    <w:rsid w:val="00864CB0"/>
    <w:rsid w:val="00865D28"/>
    <w:rsid w:val="00865FD1"/>
    <w:rsid w:val="0086611B"/>
    <w:rsid w:val="008673AD"/>
    <w:rsid w:val="00867656"/>
    <w:rsid w:val="00870F73"/>
    <w:rsid w:val="0087267D"/>
    <w:rsid w:val="00872E71"/>
    <w:rsid w:val="008735F6"/>
    <w:rsid w:val="00876BAA"/>
    <w:rsid w:val="00877064"/>
    <w:rsid w:val="00877E4F"/>
    <w:rsid w:val="00881C1C"/>
    <w:rsid w:val="0088317C"/>
    <w:rsid w:val="008859B0"/>
    <w:rsid w:val="00885BD0"/>
    <w:rsid w:val="00886A91"/>
    <w:rsid w:val="00890F2D"/>
    <w:rsid w:val="0089234A"/>
    <w:rsid w:val="00895006"/>
    <w:rsid w:val="00895030"/>
    <w:rsid w:val="00897ED9"/>
    <w:rsid w:val="008A016D"/>
    <w:rsid w:val="008A1F4D"/>
    <w:rsid w:val="008A25C6"/>
    <w:rsid w:val="008A43FC"/>
    <w:rsid w:val="008A7A51"/>
    <w:rsid w:val="008B26D4"/>
    <w:rsid w:val="008B3E20"/>
    <w:rsid w:val="008B44E3"/>
    <w:rsid w:val="008B4C81"/>
    <w:rsid w:val="008B4FA8"/>
    <w:rsid w:val="008B5D9A"/>
    <w:rsid w:val="008B5EA3"/>
    <w:rsid w:val="008B655B"/>
    <w:rsid w:val="008B71C4"/>
    <w:rsid w:val="008B7D83"/>
    <w:rsid w:val="008B7E8C"/>
    <w:rsid w:val="008C08C7"/>
    <w:rsid w:val="008C3E24"/>
    <w:rsid w:val="008C6145"/>
    <w:rsid w:val="008C7439"/>
    <w:rsid w:val="008D0685"/>
    <w:rsid w:val="008D1F5D"/>
    <w:rsid w:val="008D29FD"/>
    <w:rsid w:val="008D2E53"/>
    <w:rsid w:val="008D3930"/>
    <w:rsid w:val="008D5B59"/>
    <w:rsid w:val="008D6713"/>
    <w:rsid w:val="008E043A"/>
    <w:rsid w:val="008E45D1"/>
    <w:rsid w:val="008E4D04"/>
    <w:rsid w:val="008E53A4"/>
    <w:rsid w:val="008E57E8"/>
    <w:rsid w:val="008E65FF"/>
    <w:rsid w:val="008F03FE"/>
    <w:rsid w:val="008F161D"/>
    <w:rsid w:val="008F28CD"/>
    <w:rsid w:val="008F3372"/>
    <w:rsid w:val="008F3544"/>
    <w:rsid w:val="008F4093"/>
    <w:rsid w:val="008F55F3"/>
    <w:rsid w:val="008F5AC4"/>
    <w:rsid w:val="008F5C66"/>
    <w:rsid w:val="0090135E"/>
    <w:rsid w:val="00901A99"/>
    <w:rsid w:val="00901F75"/>
    <w:rsid w:val="0090240E"/>
    <w:rsid w:val="00903E9B"/>
    <w:rsid w:val="00905B64"/>
    <w:rsid w:val="00910771"/>
    <w:rsid w:val="00913663"/>
    <w:rsid w:val="0091480E"/>
    <w:rsid w:val="009148FF"/>
    <w:rsid w:val="00917C8D"/>
    <w:rsid w:val="00917F97"/>
    <w:rsid w:val="009203C3"/>
    <w:rsid w:val="00921365"/>
    <w:rsid w:val="00921942"/>
    <w:rsid w:val="00921DE5"/>
    <w:rsid w:val="0092504F"/>
    <w:rsid w:val="009270D3"/>
    <w:rsid w:val="009301C2"/>
    <w:rsid w:val="0093309C"/>
    <w:rsid w:val="00935433"/>
    <w:rsid w:val="009366BF"/>
    <w:rsid w:val="00936D5D"/>
    <w:rsid w:val="00940A3B"/>
    <w:rsid w:val="00941B67"/>
    <w:rsid w:val="00942178"/>
    <w:rsid w:val="00942385"/>
    <w:rsid w:val="00944C03"/>
    <w:rsid w:val="00946319"/>
    <w:rsid w:val="00947AD1"/>
    <w:rsid w:val="00950ED6"/>
    <w:rsid w:val="009514D7"/>
    <w:rsid w:val="00951561"/>
    <w:rsid w:val="00954201"/>
    <w:rsid w:val="009547E5"/>
    <w:rsid w:val="00955F25"/>
    <w:rsid w:val="00960285"/>
    <w:rsid w:val="00962455"/>
    <w:rsid w:val="009635EF"/>
    <w:rsid w:val="00970285"/>
    <w:rsid w:val="0097205D"/>
    <w:rsid w:val="00973C7C"/>
    <w:rsid w:val="00974E56"/>
    <w:rsid w:val="00974F83"/>
    <w:rsid w:val="009774B7"/>
    <w:rsid w:val="00981F9B"/>
    <w:rsid w:val="00982823"/>
    <w:rsid w:val="009828CA"/>
    <w:rsid w:val="009861EC"/>
    <w:rsid w:val="00986FF6"/>
    <w:rsid w:val="0099012D"/>
    <w:rsid w:val="00991340"/>
    <w:rsid w:val="00993272"/>
    <w:rsid w:val="00993493"/>
    <w:rsid w:val="009945D9"/>
    <w:rsid w:val="0099650E"/>
    <w:rsid w:val="00997579"/>
    <w:rsid w:val="009A3B62"/>
    <w:rsid w:val="009A5192"/>
    <w:rsid w:val="009A6100"/>
    <w:rsid w:val="009A6EA3"/>
    <w:rsid w:val="009B0BCA"/>
    <w:rsid w:val="009B149D"/>
    <w:rsid w:val="009B1CDC"/>
    <w:rsid w:val="009B2633"/>
    <w:rsid w:val="009B3448"/>
    <w:rsid w:val="009B5C1C"/>
    <w:rsid w:val="009B7D6E"/>
    <w:rsid w:val="009C187E"/>
    <w:rsid w:val="009C3030"/>
    <w:rsid w:val="009C3B91"/>
    <w:rsid w:val="009C4A23"/>
    <w:rsid w:val="009C4CE6"/>
    <w:rsid w:val="009C5070"/>
    <w:rsid w:val="009C67CB"/>
    <w:rsid w:val="009C779F"/>
    <w:rsid w:val="009D1323"/>
    <w:rsid w:val="009D1F4A"/>
    <w:rsid w:val="009D2673"/>
    <w:rsid w:val="009D5512"/>
    <w:rsid w:val="009D5AE5"/>
    <w:rsid w:val="009D5B04"/>
    <w:rsid w:val="009D6B76"/>
    <w:rsid w:val="009E01B6"/>
    <w:rsid w:val="009E0EDA"/>
    <w:rsid w:val="009E16E5"/>
    <w:rsid w:val="009E2AD9"/>
    <w:rsid w:val="009E367C"/>
    <w:rsid w:val="009E42B5"/>
    <w:rsid w:val="009E4FFF"/>
    <w:rsid w:val="009E5DBE"/>
    <w:rsid w:val="009E7F64"/>
    <w:rsid w:val="009F02A0"/>
    <w:rsid w:val="009F2590"/>
    <w:rsid w:val="009F2BBC"/>
    <w:rsid w:val="009F463C"/>
    <w:rsid w:val="009F5FB3"/>
    <w:rsid w:val="009F67EF"/>
    <w:rsid w:val="009F78F1"/>
    <w:rsid w:val="009F7B77"/>
    <w:rsid w:val="009F7C9E"/>
    <w:rsid w:val="00A01741"/>
    <w:rsid w:val="00A03212"/>
    <w:rsid w:val="00A03816"/>
    <w:rsid w:val="00A03C28"/>
    <w:rsid w:val="00A03EBC"/>
    <w:rsid w:val="00A05049"/>
    <w:rsid w:val="00A05086"/>
    <w:rsid w:val="00A06065"/>
    <w:rsid w:val="00A0712A"/>
    <w:rsid w:val="00A07AE1"/>
    <w:rsid w:val="00A07DBE"/>
    <w:rsid w:val="00A07FE5"/>
    <w:rsid w:val="00A10464"/>
    <w:rsid w:val="00A14691"/>
    <w:rsid w:val="00A15233"/>
    <w:rsid w:val="00A1793A"/>
    <w:rsid w:val="00A22928"/>
    <w:rsid w:val="00A22938"/>
    <w:rsid w:val="00A23E4A"/>
    <w:rsid w:val="00A24771"/>
    <w:rsid w:val="00A25395"/>
    <w:rsid w:val="00A26BEC"/>
    <w:rsid w:val="00A30089"/>
    <w:rsid w:val="00A31A38"/>
    <w:rsid w:val="00A32C6A"/>
    <w:rsid w:val="00A35F73"/>
    <w:rsid w:val="00A36D0F"/>
    <w:rsid w:val="00A373A6"/>
    <w:rsid w:val="00A3749F"/>
    <w:rsid w:val="00A374F9"/>
    <w:rsid w:val="00A43BA4"/>
    <w:rsid w:val="00A43EC9"/>
    <w:rsid w:val="00A45C3D"/>
    <w:rsid w:val="00A46192"/>
    <w:rsid w:val="00A50BD5"/>
    <w:rsid w:val="00A527F7"/>
    <w:rsid w:val="00A52AFD"/>
    <w:rsid w:val="00A52E33"/>
    <w:rsid w:val="00A54294"/>
    <w:rsid w:val="00A5484B"/>
    <w:rsid w:val="00A56D66"/>
    <w:rsid w:val="00A600DD"/>
    <w:rsid w:val="00A61083"/>
    <w:rsid w:val="00A61377"/>
    <w:rsid w:val="00A62727"/>
    <w:rsid w:val="00A63A41"/>
    <w:rsid w:val="00A646CC"/>
    <w:rsid w:val="00A64CC6"/>
    <w:rsid w:val="00A65155"/>
    <w:rsid w:val="00A67E97"/>
    <w:rsid w:val="00A7049C"/>
    <w:rsid w:val="00A705D1"/>
    <w:rsid w:val="00A70ECE"/>
    <w:rsid w:val="00A71905"/>
    <w:rsid w:val="00A71A91"/>
    <w:rsid w:val="00A727FB"/>
    <w:rsid w:val="00A7740C"/>
    <w:rsid w:val="00A80CD6"/>
    <w:rsid w:val="00A84085"/>
    <w:rsid w:val="00A84254"/>
    <w:rsid w:val="00A84D04"/>
    <w:rsid w:val="00A84E74"/>
    <w:rsid w:val="00A87C5A"/>
    <w:rsid w:val="00A90D4B"/>
    <w:rsid w:val="00A92D53"/>
    <w:rsid w:val="00A94063"/>
    <w:rsid w:val="00A942E0"/>
    <w:rsid w:val="00A955B9"/>
    <w:rsid w:val="00A95F9C"/>
    <w:rsid w:val="00A973FB"/>
    <w:rsid w:val="00AA219E"/>
    <w:rsid w:val="00AA3F41"/>
    <w:rsid w:val="00AA620C"/>
    <w:rsid w:val="00AA68CF"/>
    <w:rsid w:val="00AA71B0"/>
    <w:rsid w:val="00AA7485"/>
    <w:rsid w:val="00AB1256"/>
    <w:rsid w:val="00AB1EDB"/>
    <w:rsid w:val="00AB1F86"/>
    <w:rsid w:val="00AB2633"/>
    <w:rsid w:val="00AB3AAF"/>
    <w:rsid w:val="00AB3F23"/>
    <w:rsid w:val="00AB41F4"/>
    <w:rsid w:val="00AB46B7"/>
    <w:rsid w:val="00AB4844"/>
    <w:rsid w:val="00AB4C03"/>
    <w:rsid w:val="00AB4D42"/>
    <w:rsid w:val="00AC0A27"/>
    <w:rsid w:val="00AC1843"/>
    <w:rsid w:val="00AC5176"/>
    <w:rsid w:val="00AC6025"/>
    <w:rsid w:val="00AD0224"/>
    <w:rsid w:val="00AD203B"/>
    <w:rsid w:val="00AD5317"/>
    <w:rsid w:val="00AD60EF"/>
    <w:rsid w:val="00AD6E41"/>
    <w:rsid w:val="00AE3000"/>
    <w:rsid w:val="00AE3349"/>
    <w:rsid w:val="00AE36EA"/>
    <w:rsid w:val="00AE46E9"/>
    <w:rsid w:val="00AE598A"/>
    <w:rsid w:val="00AE69EF"/>
    <w:rsid w:val="00AF0526"/>
    <w:rsid w:val="00AF18F6"/>
    <w:rsid w:val="00AF1D6E"/>
    <w:rsid w:val="00AF2F00"/>
    <w:rsid w:val="00AF486F"/>
    <w:rsid w:val="00AF5892"/>
    <w:rsid w:val="00B0306F"/>
    <w:rsid w:val="00B05B9A"/>
    <w:rsid w:val="00B0602D"/>
    <w:rsid w:val="00B0727E"/>
    <w:rsid w:val="00B11D1C"/>
    <w:rsid w:val="00B124FA"/>
    <w:rsid w:val="00B14057"/>
    <w:rsid w:val="00B153DE"/>
    <w:rsid w:val="00B15477"/>
    <w:rsid w:val="00B16326"/>
    <w:rsid w:val="00B16BE8"/>
    <w:rsid w:val="00B16F86"/>
    <w:rsid w:val="00B21196"/>
    <w:rsid w:val="00B22164"/>
    <w:rsid w:val="00B22F32"/>
    <w:rsid w:val="00B2365E"/>
    <w:rsid w:val="00B27CBF"/>
    <w:rsid w:val="00B30A30"/>
    <w:rsid w:val="00B3291A"/>
    <w:rsid w:val="00B336BF"/>
    <w:rsid w:val="00B343CA"/>
    <w:rsid w:val="00B4039B"/>
    <w:rsid w:val="00B42D88"/>
    <w:rsid w:val="00B438A3"/>
    <w:rsid w:val="00B44F7B"/>
    <w:rsid w:val="00B506DB"/>
    <w:rsid w:val="00B51CF2"/>
    <w:rsid w:val="00B552DF"/>
    <w:rsid w:val="00B5752F"/>
    <w:rsid w:val="00B6022F"/>
    <w:rsid w:val="00B6301F"/>
    <w:rsid w:val="00B64CA5"/>
    <w:rsid w:val="00B659BF"/>
    <w:rsid w:val="00B6674B"/>
    <w:rsid w:val="00B67312"/>
    <w:rsid w:val="00B67813"/>
    <w:rsid w:val="00B70A5D"/>
    <w:rsid w:val="00B719D9"/>
    <w:rsid w:val="00B71ECF"/>
    <w:rsid w:val="00B72E9A"/>
    <w:rsid w:val="00B757C6"/>
    <w:rsid w:val="00B76076"/>
    <w:rsid w:val="00B762FC"/>
    <w:rsid w:val="00B77F5F"/>
    <w:rsid w:val="00B80788"/>
    <w:rsid w:val="00B83196"/>
    <w:rsid w:val="00B83835"/>
    <w:rsid w:val="00B857CA"/>
    <w:rsid w:val="00B9127E"/>
    <w:rsid w:val="00B91FAC"/>
    <w:rsid w:val="00B9266B"/>
    <w:rsid w:val="00B940DA"/>
    <w:rsid w:val="00B94EA8"/>
    <w:rsid w:val="00B9669F"/>
    <w:rsid w:val="00B96DF8"/>
    <w:rsid w:val="00B96F46"/>
    <w:rsid w:val="00BA0EC1"/>
    <w:rsid w:val="00BA1ED7"/>
    <w:rsid w:val="00BA2B25"/>
    <w:rsid w:val="00BA31B0"/>
    <w:rsid w:val="00BA39B4"/>
    <w:rsid w:val="00BA478A"/>
    <w:rsid w:val="00BA5B3F"/>
    <w:rsid w:val="00BA7102"/>
    <w:rsid w:val="00BA7746"/>
    <w:rsid w:val="00BB0513"/>
    <w:rsid w:val="00BB087B"/>
    <w:rsid w:val="00BB1EFA"/>
    <w:rsid w:val="00BB3234"/>
    <w:rsid w:val="00BB394D"/>
    <w:rsid w:val="00BB4A04"/>
    <w:rsid w:val="00BC03CD"/>
    <w:rsid w:val="00BC05D4"/>
    <w:rsid w:val="00BC078B"/>
    <w:rsid w:val="00BC1EBA"/>
    <w:rsid w:val="00BC35DA"/>
    <w:rsid w:val="00BC412E"/>
    <w:rsid w:val="00BC574B"/>
    <w:rsid w:val="00BD1765"/>
    <w:rsid w:val="00BD203D"/>
    <w:rsid w:val="00BD37C5"/>
    <w:rsid w:val="00BD629F"/>
    <w:rsid w:val="00BD7D60"/>
    <w:rsid w:val="00BE1C9C"/>
    <w:rsid w:val="00BE1D8A"/>
    <w:rsid w:val="00BE4072"/>
    <w:rsid w:val="00BE54F0"/>
    <w:rsid w:val="00BE7107"/>
    <w:rsid w:val="00BF7055"/>
    <w:rsid w:val="00BF7420"/>
    <w:rsid w:val="00C003CB"/>
    <w:rsid w:val="00C00493"/>
    <w:rsid w:val="00C005AE"/>
    <w:rsid w:val="00C0070E"/>
    <w:rsid w:val="00C02113"/>
    <w:rsid w:val="00C03857"/>
    <w:rsid w:val="00C05DA9"/>
    <w:rsid w:val="00C06D15"/>
    <w:rsid w:val="00C10047"/>
    <w:rsid w:val="00C1024F"/>
    <w:rsid w:val="00C12B62"/>
    <w:rsid w:val="00C1400E"/>
    <w:rsid w:val="00C14173"/>
    <w:rsid w:val="00C16EC7"/>
    <w:rsid w:val="00C16FDD"/>
    <w:rsid w:val="00C208B6"/>
    <w:rsid w:val="00C21AAD"/>
    <w:rsid w:val="00C2262E"/>
    <w:rsid w:val="00C276D2"/>
    <w:rsid w:val="00C27904"/>
    <w:rsid w:val="00C27D92"/>
    <w:rsid w:val="00C3014C"/>
    <w:rsid w:val="00C3073B"/>
    <w:rsid w:val="00C347B5"/>
    <w:rsid w:val="00C35258"/>
    <w:rsid w:val="00C36073"/>
    <w:rsid w:val="00C36E29"/>
    <w:rsid w:val="00C407A0"/>
    <w:rsid w:val="00C4739F"/>
    <w:rsid w:val="00C47B70"/>
    <w:rsid w:val="00C47B8E"/>
    <w:rsid w:val="00C50571"/>
    <w:rsid w:val="00C51D12"/>
    <w:rsid w:val="00C527E6"/>
    <w:rsid w:val="00C55C83"/>
    <w:rsid w:val="00C57069"/>
    <w:rsid w:val="00C5799E"/>
    <w:rsid w:val="00C62F38"/>
    <w:rsid w:val="00C635D8"/>
    <w:rsid w:val="00C64053"/>
    <w:rsid w:val="00C648E0"/>
    <w:rsid w:val="00C65595"/>
    <w:rsid w:val="00C726CD"/>
    <w:rsid w:val="00C73580"/>
    <w:rsid w:val="00C75174"/>
    <w:rsid w:val="00C7775F"/>
    <w:rsid w:val="00C777F1"/>
    <w:rsid w:val="00C8039D"/>
    <w:rsid w:val="00C82FF0"/>
    <w:rsid w:val="00C831A9"/>
    <w:rsid w:val="00C83E17"/>
    <w:rsid w:val="00C8621D"/>
    <w:rsid w:val="00C91BC3"/>
    <w:rsid w:val="00C9326C"/>
    <w:rsid w:val="00C9426B"/>
    <w:rsid w:val="00C943F0"/>
    <w:rsid w:val="00C96EDA"/>
    <w:rsid w:val="00CA001F"/>
    <w:rsid w:val="00CA1216"/>
    <w:rsid w:val="00CA31B7"/>
    <w:rsid w:val="00CA3CB0"/>
    <w:rsid w:val="00CA4CD4"/>
    <w:rsid w:val="00CA6A05"/>
    <w:rsid w:val="00CB08CB"/>
    <w:rsid w:val="00CB19DA"/>
    <w:rsid w:val="00CB1EFA"/>
    <w:rsid w:val="00CB267B"/>
    <w:rsid w:val="00CB448F"/>
    <w:rsid w:val="00CB4E25"/>
    <w:rsid w:val="00CB4EBE"/>
    <w:rsid w:val="00CB5D5D"/>
    <w:rsid w:val="00CB69A3"/>
    <w:rsid w:val="00CC2CAB"/>
    <w:rsid w:val="00CC38E3"/>
    <w:rsid w:val="00CC5E80"/>
    <w:rsid w:val="00CC7BB3"/>
    <w:rsid w:val="00CD00E3"/>
    <w:rsid w:val="00CD01E6"/>
    <w:rsid w:val="00CD065D"/>
    <w:rsid w:val="00CD13DF"/>
    <w:rsid w:val="00CD19DB"/>
    <w:rsid w:val="00CD1DB7"/>
    <w:rsid w:val="00CD1EF8"/>
    <w:rsid w:val="00CD3E10"/>
    <w:rsid w:val="00CD441C"/>
    <w:rsid w:val="00CD595F"/>
    <w:rsid w:val="00CE08A9"/>
    <w:rsid w:val="00CE1144"/>
    <w:rsid w:val="00CE20B0"/>
    <w:rsid w:val="00CE2C82"/>
    <w:rsid w:val="00CE51A0"/>
    <w:rsid w:val="00CF0D8C"/>
    <w:rsid w:val="00CF0FB2"/>
    <w:rsid w:val="00CF23D1"/>
    <w:rsid w:val="00CF2760"/>
    <w:rsid w:val="00CF30D8"/>
    <w:rsid w:val="00CF357C"/>
    <w:rsid w:val="00CF493B"/>
    <w:rsid w:val="00CF4D53"/>
    <w:rsid w:val="00CF52CC"/>
    <w:rsid w:val="00CF5AC7"/>
    <w:rsid w:val="00CF7D68"/>
    <w:rsid w:val="00D006FC"/>
    <w:rsid w:val="00D010F6"/>
    <w:rsid w:val="00D011D3"/>
    <w:rsid w:val="00D01FAB"/>
    <w:rsid w:val="00D03244"/>
    <w:rsid w:val="00D03C06"/>
    <w:rsid w:val="00D078C6"/>
    <w:rsid w:val="00D07A93"/>
    <w:rsid w:val="00D1094D"/>
    <w:rsid w:val="00D114B2"/>
    <w:rsid w:val="00D11D11"/>
    <w:rsid w:val="00D1580C"/>
    <w:rsid w:val="00D15F7F"/>
    <w:rsid w:val="00D1663A"/>
    <w:rsid w:val="00D16DBB"/>
    <w:rsid w:val="00D1733F"/>
    <w:rsid w:val="00D22D0F"/>
    <w:rsid w:val="00D2670C"/>
    <w:rsid w:val="00D26FD1"/>
    <w:rsid w:val="00D30438"/>
    <w:rsid w:val="00D35291"/>
    <w:rsid w:val="00D3564A"/>
    <w:rsid w:val="00D35D6F"/>
    <w:rsid w:val="00D367B5"/>
    <w:rsid w:val="00D3773D"/>
    <w:rsid w:val="00D37E46"/>
    <w:rsid w:val="00D4044A"/>
    <w:rsid w:val="00D415AD"/>
    <w:rsid w:val="00D430FD"/>
    <w:rsid w:val="00D43764"/>
    <w:rsid w:val="00D437D7"/>
    <w:rsid w:val="00D45F2A"/>
    <w:rsid w:val="00D47B97"/>
    <w:rsid w:val="00D50174"/>
    <w:rsid w:val="00D50F32"/>
    <w:rsid w:val="00D5121F"/>
    <w:rsid w:val="00D51853"/>
    <w:rsid w:val="00D519D2"/>
    <w:rsid w:val="00D52814"/>
    <w:rsid w:val="00D53B4E"/>
    <w:rsid w:val="00D56EFB"/>
    <w:rsid w:val="00D620AE"/>
    <w:rsid w:val="00D6514B"/>
    <w:rsid w:val="00D65CEE"/>
    <w:rsid w:val="00D66B6D"/>
    <w:rsid w:val="00D66FDF"/>
    <w:rsid w:val="00D67873"/>
    <w:rsid w:val="00D706DF"/>
    <w:rsid w:val="00D70AF6"/>
    <w:rsid w:val="00D71A31"/>
    <w:rsid w:val="00D71BBF"/>
    <w:rsid w:val="00D728B5"/>
    <w:rsid w:val="00D72ABB"/>
    <w:rsid w:val="00D755C0"/>
    <w:rsid w:val="00D77D5B"/>
    <w:rsid w:val="00D80ADE"/>
    <w:rsid w:val="00D826C0"/>
    <w:rsid w:val="00D846CB"/>
    <w:rsid w:val="00D84868"/>
    <w:rsid w:val="00D84AAE"/>
    <w:rsid w:val="00D8534F"/>
    <w:rsid w:val="00D85514"/>
    <w:rsid w:val="00D85F56"/>
    <w:rsid w:val="00D86837"/>
    <w:rsid w:val="00D924A8"/>
    <w:rsid w:val="00D9288D"/>
    <w:rsid w:val="00D92A82"/>
    <w:rsid w:val="00D94BFB"/>
    <w:rsid w:val="00D94F06"/>
    <w:rsid w:val="00D96258"/>
    <w:rsid w:val="00D9649E"/>
    <w:rsid w:val="00DA04D0"/>
    <w:rsid w:val="00DA7831"/>
    <w:rsid w:val="00DB0186"/>
    <w:rsid w:val="00DB14FB"/>
    <w:rsid w:val="00DB1B7A"/>
    <w:rsid w:val="00DB1F2E"/>
    <w:rsid w:val="00DB2638"/>
    <w:rsid w:val="00DB2CBC"/>
    <w:rsid w:val="00DB2F4B"/>
    <w:rsid w:val="00DB3AAE"/>
    <w:rsid w:val="00DB54C3"/>
    <w:rsid w:val="00DB6D06"/>
    <w:rsid w:val="00DC0E9F"/>
    <w:rsid w:val="00DC1F89"/>
    <w:rsid w:val="00DC586C"/>
    <w:rsid w:val="00DC5B0D"/>
    <w:rsid w:val="00DC637E"/>
    <w:rsid w:val="00DC7800"/>
    <w:rsid w:val="00DD2175"/>
    <w:rsid w:val="00DD2763"/>
    <w:rsid w:val="00DD3F63"/>
    <w:rsid w:val="00DD43BB"/>
    <w:rsid w:val="00DD4AAB"/>
    <w:rsid w:val="00DD50F8"/>
    <w:rsid w:val="00DD7375"/>
    <w:rsid w:val="00DE0A98"/>
    <w:rsid w:val="00DE1337"/>
    <w:rsid w:val="00DE40EE"/>
    <w:rsid w:val="00DE4703"/>
    <w:rsid w:val="00DE4B91"/>
    <w:rsid w:val="00DE4C74"/>
    <w:rsid w:val="00DE6AFF"/>
    <w:rsid w:val="00DE7755"/>
    <w:rsid w:val="00DF0C35"/>
    <w:rsid w:val="00DF1E20"/>
    <w:rsid w:val="00DF3E58"/>
    <w:rsid w:val="00DF5B5E"/>
    <w:rsid w:val="00DF64BA"/>
    <w:rsid w:val="00DF799F"/>
    <w:rsid w:val="00DF7BBA"/>
    <w:rsid w:val="00E0095B"/>
    <w:rsid w:val="00E010CD"/>
    <w:rsid w:val="00E0188F"/>
    <w:rsid w:val="00E037FF"/>
    <w:rsid w:val="00E03969"/>
    <w:rsid w:val="00E0593B"/>
    <w:rsid w:val="00E06224"/>
    <w:rsid w:val="00E0728A"/>
    <w:rsid w:val="00E07963"/>
    <w:rsid w:val="00E07FD0"/>
    <w:rsid w:val="00E10FA9"/>
    <w:rsid w:val="00E12B1D"/>
    <w:rsid w:val="00E1480D"/>
    <w:rsid w:val="00E2097B"/>
    <w:rsid w:val="00E255C4"/>
    <w:rsid w:val="00E26E73"/>
    <w:rsid w:val="00E276D4"/>
    <w:rsid w:val="00E278C0"/>
    <w:rsid w:val="00E3314E"/>
    <w:rsid w:val="00E33D02"/>
    <w:rsid w:val="00E347A0"/>
    <w:rsid w:val="00E35ECE"/>
    <w:rsid w:val="00E376C7"/>
    <w:rsid w:val="00E379FD"/>
    <w:rsid w:val="00E4080F"/>
    <w:rsid w:val="00E41150"/>
    <w:rsid w:val="00E42758"/>
    <w:rsid w:val="00E429B4"/>
    <w:rsid w:val="00E44A38"/>
    <w:rsid w:val="00E45C78"/>
    <w:rsid w:val="00E46010"/>
    <w:rsid w:val="00E463F7"/>
    <w:rsid w:val="00E46F79"/>
    <w:rsid w:val="00E501EA"/>
    <w:rsid w:val="00E52C9F"/>
    <w:rsid w:val="00E530CD"/>
    <w:rsid w:val="00E54721"/>
    <w:rsid w:val="00E56D85"/>
    <w:rsid w:val="00E57835"/>
    <w:rsid w:val="00E609D5"/>
    <w:rsid w:val="00E60A5C"/>
    <w:rsid w:val="00E60AF7"/>
    <w:rsid w:val="00E614C0"/>
    <w:rsid w:val="00E6385A"/>
    <w:rsid w:val="00E644A0"/>
    <w:rsid w:val="00E64624"/>
    <w:rsid w:val="00E66DFD"/>
    <w:rsid w:val="00E702BF"/>
    <w:rsid w:val="00E70C38"/>
    <w:rsid w:val="00E76F4A"/>
    <w:rsid w:val="00E776DF"/>
    <w:rsid w:val="00E77B01"/>
    <w:rsid w:val="00E8157A"/>
    <w:rsid w:val="00E81846"/>
    <w:rsid w:val="00E81C89"/>
    <w:rsid w:val="00E827BF"/>
    <w:rsid w:val="00E82990"/>
    <w:rsid w:val="00E830C8"/>
    <w:rsid w:val="00E83525"/>
    <w:rsid w:val="00E83694"/>
    <w:rsid w:val="00E845F8"/>
    <w:rsid w:val="00E84DF0"/>
    <w:rsid w:val="00E85A86"/>
    <w:rsid w:val="00E865C6"/>
    <w:rsid w:val="00E86797"/>
    <w:rsid w:val="00E901FC"/>
    <w:rsid w:val="00E91092"/>
    <w:rsid w:val="00E918F8"/>
    <w:rsid w:val="00E93D36"/>
    <w:rsid w:val="00E953D2"/>
    <w:rsid w:val="00E9567E"/>
    <w:rsid w:val="00E974F9"/>
    <w:rsid w:val="00EA297D"/>
    <w:rsid w:val="00EA2D82"/>
    <w:rsid w:val="00EA34B8"/>
    <w:rsid w:val="00EA6241"/>
    <w:rsid w:val="00EB0DBD"/>
    <w:rsid w:val="00EB38F2"/>
    <w:rsid w:val="00EB3DD9"/>
    <w:rsid w:val="00EB4521"/>
    <w:rsid w:val="00EB736A"/>
    <w:rsid w:val="00EB7A56"/>
    <w:rsid w:val="00EC0098"/>
    <w:rsid w:val="00EC0548"/>
    <w:rsid w:val="00EC2943"/>
    <w:rsid w:val="00EC3441"/>
    <w:rsid w:val="00EC700F"/>
    <w:rsid w:val="00ED1389"/>
    <w:rsid w:val="00ED1864"/>
    <w:rsid w:val="00ED18EF"/>
    <w:rsid w:val="00ED59DB"/>
    <w:rsid w:val="00EE0397"/>
    <w:rsid w:val="00EE0A8B"/>
    <w:rsid w:val="00EE37FF"/>
    <w:rsid w:val="00EE4ED6"/>
    <w:rsid w:val="00EE75B2"/>
    <w:rsid w:val="00EF054B"/>
    <w:rsid w:val="00EF19F2"/>
    <w:rsid w:val="00EF245C"/>
    <w:rsid w:val="00EF37CC"/>
    <w:rsid w:val="00EF480B"/>
    <w:rsid w:val="00F04158"/>
    <w:rsid w:val="00F04CC2"/>
    <w:rsid w:val="00F057A8"/>
    <w:rsid w:val="00F05ECE"/>
    <w:rsid w:val="00F1195C"/>
    <w:rsid w:val="00F12AAF"/>
    <w:rsid w:val="00F13CC3"/>
    <w:rsid w:val="00F149CF"/>
    <w:rsid w:val="00F151BE"/>
    <w:rsid w:val="00F15A3A"/>
    <w:rsid w:val="00F163B1"/>
    <w:rsid w:val="00F17117"/>
    <w:rsid w:val="00F1782E"/>
    <w:rsid w:val="00F244EA"/>
    <w:rsid w:val="00F257F0"/>
    <w:rsid w:val="00F26232"/>
    <w:rsid w:val="00F26A82"/>
    <w:rsid w:val="00F26EE4"/>
    <w:rsid w:val="00F27390"/>
    <w:rsid w:val="00F317E0"/>
    <w:rsid w:val="00F32A6C"/>
    <w:rsid w:val="00F3483E"/>
    <w:rsid w:val="00F36EBD"/>
    <w:rsid w:val="00F37625"/>
    <w:rsid w:val="00F37875"/>
    <w:rsid w:val="00F402F7"/>
    <w:rsid w:val="00F437B5"/>
    <w:rsid w:val="00F45969"/>
    <w:rsid w:val="00F45B8A"/>
    <w:rsid w:val="00F45D50"/>
    <w:rsid w:val="00F46EBF"/>
    <w:rsid w:val="00F51FF8"/>
    <w:rsid w:val="00F533C0"/>
    <w:rsid w:val="00F558B0"/>
    <w:rsid w:val="00F56A1E"/>
    <w:rsid w:val="00F60B01"/>
    <w:rsid w:val="00F61980"/>
    <w:rsid w:val="00F61ECB"/>
    <w:rsid w:val="00F65B89"/>
    <w:rsid w:val="00F65F2C"/>
    <w:rsid w:val="00F667A8"/>
    <w:rsid w:val="00F67D7A"/>
    <w:rsid w:val="00F7061E"/>
    <w:rsid w:val="00F70EDB"/>
    <w:rsid w:val="00F70F3E"/>
    <w:rsid w:val="00F73CF2"/>
    <w:rsid w:val="00F74B9C"/>
    <w:rsid w:val="00F80086"/>
    <w:rsid w:val="00F80402"/>
    <w:rsid w:val="00F80CB3"/>
    <w:rsid w:val="00F87674"/>
    <w:rsid w:val="00F87BD3"/>
    <w:rsid w:val="00F90E64"/>
    <w:rsid w:val="00F91477"/>
    <w:rsid w:val="00F93769"/>
    <w:rsid w:val="00F94061"/>
    <w:rsid w:val="00F95A05"/>
    <w:rsid w:val="00F97945"/>
    <w:rsid w:val="00FA0174"/>
    <w:rsid w:val="00FA13BA"/>
    <w:rsid w:val="00FA216A"/>
    <w:rsid w:val="00FA26DB"/>
    <w:rsid w:val="00FA4A5B"/>
    <w:rsid w:val="00FB0286"/>
    <w:rsid w:val="00FB082C"/>
    <w:rsid w:val="00FB28D2"/>
    <w:rsid w:val="00FB2996"/>
    <w:rsid w:val="00FB3DCF"/>
    <w:rsid w:val="00FB61FB"/>
    <w:rsid w:val="00FC05A6"/>
    <w:rsid w:val="00FC25BD"/>
    <w:rsid w:val="00FC32B7"/>
    <w:rsid w:val="00FC33ED"/>
    <w:rsid w:val="00FC4D5C"/>
    <w:rsid w:val="00FC71DF"/>
    <w:rsid w:val="00FC773C"/>
    <w:rsid w:val="00FD0DED"/>
    <w:rsid w:val="00FD13F9"/>
    <w:rsid w:val="00FD23CE"/>
    <w:rsid w:val="00FD3605"/>
    <w:rsid w:val="00FD3EBC"/>
    <w:rsid w:val="00FD62ED"/>
    <w:rsid w:val="00FE08FC"/>
    <w:rsid w:val="00FE3760"/>
    <w:rsid w:val="00FE7830"/>
    <w:rsid w:val="00FE7DAB"/>
    <w:rsid w:val="00FF3F08"/>
    <w:rsid w:val="00FF4B31"/>
    <w:rsid w:val="00FF6BB5"/>
    <w:rsid w:val="00FF7CA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53953"/>
    <o:shapelayout v:ext="edit">
      <o:idmap v:ext="edit" data="1"/>
    </o:shapelayout>
  </w:shapeDefaults>
  <w:decimalSymbol w:val="."/>
  <w:listSeparator w:val=","/>
  <w14:docId w14:val="0C9AF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0" w:defSemiHidden="0" w:defUnhideWhenUsed="0" w:defQFormat="0" w:count="37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1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iPriority="99" w:unhideWhenUsed="1"/>
    <w:lsdException w:name="envelope address" w:semiHidden="1" w:uiPriority="19" w:unhideWhenUsed="1"/>
    <w:lsdException w:name="envelope return" w:semiHidden="1" w:uiPriority="19" w:unhideWhenUsed="1"/>
    <w:lsdException w:name="footnote reference" w:semiHidden="1" w:uiPriority="19" w:unhideWhenUsed="1"/>
    <w:lsdException w:name="annotation reference" w:semiHidden="1" w:unhideWhenUsed="1"/>
    <w:lsdException w:name="line number" w:semiHidden="1" w:unhideWhenUsed="1"/>
    <w:lsdException w:name="page number" w:semiHidden="1" w:unhideWhenUsed="1"/>
    <w:lsdException w:name="endnote reference" w:semiHidden="1" w:uiPriority="19" w:unhideWhenUsed="1"/>
    <w:lsdException w:name="endnote text" w:semiHidden="1" w:uiPriority="19" w:unhideWhenUsed="1"/>
    <w:lsdException w:name="table of authorities" w:semiHidden="1" w:unhideWhenUsed="1"/>
    <w:lsdException w:name="macro" w:semiHidden="1" w:unhideWhenUsed="1"/>
    <w:lsdException w:name="toa heading" w:semiHidden="1" w:unhideWhenUsed="1"/>
    <w:lsdException w:name="List" w:semiHidden="1" w:uiPriority="29" w:unhideWhenUsed="1"/>
    <w:lsdException w:name="List Bullet" w:semiHidden="1" w:uiPriority="99" w:unhideWhenUsed="1" w:qFormat="1"/>
    <w:lsdException w:name="List Number" w:uiPriority="99" w:qFormat="1"/>
    <w:lsdException w:name="List 2" w:semiHidden="1" w:uiPriority="29" w:unhideWhenUsed="1"/>
    <w:lsdException w:name="List 3" w:semiHidden="1" w:uiPriority="29" w:unhideWhenUsed="1"/>
    <w:lsdException w:name="List 4" w:uiPriority="29"/>
    <w:lsdException w:name="List 5" w:uiPriority="29"/>
    <w:lsdException w:name="List Bullet 2" w:semiHidden="1" w:uiPriority="99" w:unhideWhenUsed="1" w:qFormat="1"/>
    <w:lsdException w:name="List Bullet 3" w:semiHidden="1" w:uiPriority="99" w:unhideWhenUsed="1" w:qFormat="1"/>
    <w:lsdException w:name="List Bullet 4" w:semiHidden="1" w:uiPriority="99" w:unhideWhenUsed="1"/>
    <w:lsdException w:name="List Bullet 5" w:semiHidden="1" w:uiPriority="99" w:unhideWhenUsed="1"/>
    <w:lsdException w:name="List Number 2" w:semiHidden="1" w:uiPriority="99" w:unhideWhenUsed="1" w:qFormat="1"/>
    <w:lsdException w:name="List Number 3" w:semiHidden="1" w:uiPriority="99" w:unhideWhenUsed="1" w:qFormat="1"/>
    <w:lsdException w:name="List Number 4" w:semiHidden="1" w:uiPriority="99" w:unhideWhenUsed="1"/>
    <w:lsdException w:name="List Number 5" w:semiHidden="1" w:uiPriority="99"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Date" w:uiPriority="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19" w:unhideWhenUsed="1"/>
    <w:lsdException w:name="Strong" w:qFormat="1"/>
    <w:lsdException w:name="Emphasis" w:uiPriority="20" w:qFormat="1"/>
    <w:lsdException w:name="Document Map" w:semiHidden="1" w:uiPriority="19" w:unhideWhenUsed="1"/>
    <w:lsdException w:name="Plain Text" w:semiHidden="1" w:unhideWhenUsed="1"/>
    <w:lsdException w:name="E-mail Signature" w:semiHidden="1" w:uiPriority="1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A92D53"/>
    <w:pPr>
      <w:spacing w:after="180" w:line="260" w:lineRule="exact"/>
      <w:ind w:left="2160"/>
      <w:jc w:val="both"/>
    </w:pPr>
    <w:rPr>
      <w:rFonts w:ascii="Arial" w:hAnsi="Arial"/>
      <w:color w:val="595A5B"/>
      <w:sz w:val="20"/>
    </w:rPr>
  </w:style>
  <w:style w:type="paragraph" w:styleId="Heading1">
    <w:name w:val="heading 1"/>
    <w:basedOn w:val="Normal"/>
    <w:next w:val="BodyText"/>
    <w:link w:val="Heading1Char"/>
    <w:uiPriority w:val="9"/>
    <w:qFormat/>
    <w:rsid w:val="000D5BDE"/>
    <w:pPr>
      <w:keepNext/>
      <w:numPr>
        <w:numId w:val="9"/>
      </w:numPr>
      <w:spacing w:before="300" w:line="280" w:lineRule="atLeast"/>
      <w:jc w:val="left"/>
      <w:outlineLvl w:val="0"/>
    </w:pPr>
    <w:rPr>
      <w:rFonts w:asciiTheme="majorHAnsi" w:eastAsia="Times New Roman" w:hAnsiTheme="majorHAnsi" w:cs="Arial"/>
      <w:b/>
      <w:bCs/>
      <w:color w:val="292B67" w:themeColor="accent1"/>
      <w:kern w:val="32"/>
      <w:sz w:val="32"/>
      <w:szCs w:val="32"/>
    </w:rPr>
  </w:style>
  <w:style w:type="paragraph" w:styleId="Heading2">
    <w:name w:val="heading 2"/>
    <w:basedOn w:val="Heading1"/>
    <w:next w:val="BodyText"/>
    <w:link w:val="Heading2Char"/>
    <w:uiPriority w:val="9"/>
    <w:qFormat/>
    <w:rsid w:val="00AC5176"/>
    <w:pPr>
      <w:numPr>
        <w:ilvl w:val="1"/>
      </w:numPr>
      <w:outlineLvl w:val="1"/>
    </w:pPr>
    <w:rPr>
      <w:b w:val="0"/>
      <w:bCs w:val="0"/>
      <w:iCs/>
      <w:color w:val="22789A" w:themeColor="accent3"/>
      <w:sz w:val="22"/>
      <w:szCs w:val="28"/>
    </w:rPr>
  </w:style>
  <w:style w:type="paragraph" w:styleId="Heading3">
    <w:name w:val="heading 3"/>
    <w:basedOn w:val="BodyText"/>
    <w:next w:val="BodyText"/>
    <w:link w:val="Heading3Char"/>
    <w:uiPriority w:val="9"/>
    <w:qFormat/>
    <w:rsid w:val="0001161C"/>
    <w:pPr>
      <w:keepNext/>
      <w:numPr>
        <w:ilvl w:val="2"/>
        <w:numId w:val="9"/>
      </w:numPr>
      <w:spacing w:before="300" w:line="280" w:lineRule="atLeast"/>
      <w:jc w:val="left"/>
      <w:outlineLvl w:val="2"/>
    </w:pPr>
    <w:rPr>
      <w:rFonts w:asciiTheme="majorHAnsi" w:eastAsia="Times New Roman" w:hAnsiTheme="majorHAnsi" w:cs="Arial"/>
      <w:bCs/>
      <w:color w:val="22789A"/>
      <w:sz w:val="22"/>
    </w:rPr>
  </w:style>
  <w:style w:type="paragraph" w:styleId="Heading4">
    <w:name w:val="heading 4"/>
    <w:basedOn w:val="BodyText"/>
    <w:next w:val="BodyText"/>
    <w:link w:val="Heading4Char"/>
    <w:uiPriority w:val="9"/>
    <w:unhideWhenUsed/>
    <w:rsid w:val="009F2590"/>
    <w:pPr>
      <w:keepNext/>
      <w:keepLines/>
      <w:spacing w:before="200" w:after="0"/>
      <w:outlineLvl w:val="3"/>
    </w:pPr>
    <w:rPr>
      <w:rFonts w:asciiTheme="majorHAnsi" w:eastAsiaTheme="majorEastAsia" w:hAnsiTheme="majorHAnsi" w:cstheme="majorBidi"/>
      <w:b/>
      <w:bCs/>
      <w:i/>
      <w:iCs/>
      <w:color w:val="auto"/>
    </w:rPr>
  </w:style>
  <w:style w:type="paragraph" w:styleId="Heading6">
    <w:name w:val="heading 6"/>
    <w:basedOn w:val="Normal"/>
    <w:next w:val="BodyText"/>
    <w:link w:val="Heading6Char"/>
    <w:uiPriority w:val="1"/>
    <w:qFormat/>
    <w:rsid w:val="0001161C"/>
    <w:pPr>
      <w:keepNext/>
      <w:pageBreakBefore/>
      <w:numPr>
        <w:ilvl w:val="5"/>
        <w:numId w:val="9"/>
      </w:numPr>
      <w:spacing w:before="300" w:line="280" w:lineRule="atLeast"/>
      <w:jc w:val="left"/>
      <w:outlineLvl w:val="5"/>
    </w:pPr>
    <w:rPr>
      <w:rFonts w:asciiTheme="majorHAnsi" w:eastAsiaTheme="majorEastAsia" w:hAnsiTheme="majorHAnsi" w:cstheme="majorBidi"/>
      <w:b/>
      <w:iCs/>
      <w:color w:val="22789A"/>
      <w:sz w:val="32"/>
    </w:rPr>
  </w:style>
  <w:style w:type="paragraph" w:styleId="Heading7">
    <w:name w:val="heading 7"/>
    <w:basedOn w:val="Normal"/>
    <w:next w:val="BodyText"/>
    <w:link w:val="Heading7Char"/>
    <w:uiPriority w:val="1"/>
    <w:qFormat/>
    <w:rsid w:val="0001161C"/>
    <w:pPr>
      <w:keepNext/>
      <w:keepLines/>
      <w:numPr>
        <w:ilvl w:val="6"/>
        <w:numId w:val="9"/>
      </w:numPr>
      <w:spacing w:before="300" w:line="280" w:lineRule="atLeast"/>
      <w:jc w:val="left"/>
      <w:outlineLvl w:val="6"/>
    </w:pPr>
    <w:rPr>
      <w:rFonts w:asciiTheme="majorHAnsi" w:eastAsiaTheme="majorEastAsia" w:hAnsiTheme="majorHAnsi" w:cstheme="majorBidi"/>
      <w:b/>
      <w:iCs/>
      <w:color w:val="6CCCDE"/>
      <w:sz w:val="22"/>
    </w:rPr>
  </w:style>
  <w:style w:type="paragraph" w:styleId="Heading8">
    <w:name w:val="heading 8"/>
    <w:basedOn w:val="Normal"/>
    <w:next w:val="BodyText"/>
    <w:link w:val="Heading8Char"/>
    <w:uiPriority w:val="1"/>
    <w:qFormat/>
    <w:rsid w:val="0001161C"/>
    <w:pPr>
      <w:keepNext/>
      <w:keepLines/>
      <w:numPr>
        <w:ilvl w:val="7"/>
        <w:numId w:val="9"/>
      </w:numPr>
      <w:spacing w:before="300"/>
      <w:jc w:val="left"/>
      <w:outlineLvl w:val="7"/>
    </w:pPr>
    <w:rPr>
      <w:rFonts w:asciiTheme="majorHAnsi" w:eastAsiaTheme="majorEastAsia" w:hAnsiTheme="majorHAnsi" w:cstheme="majorBidi"/>
      <w:color w:val="22789A"/>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Contemporary">
    <w:name w:val="Table Contemporary"/>
    <w:basedOn w:val="TableNormal"/>
    <w:rsid w:val="009F2590"/>
    <w:rPr>
      <w:rFonts w:eastAsia="Times New Roman"/>
      <w:lang w:eastAsia="en-A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ullet2">
    <w:name w:val="Bullet 2"/>
    <w:basedOn w:val="Normal"/>
    <w:semiHidden/>
    <w:rsid w:val="008F3372"/>
    <w:pPr>
      <w:numPr>
        <w:numId w:val="1"/>
      </w:numPr>
      <w:tabs>
        <w:tab w:val="clear" w:pos="1418"/>
        <w:tab w:val="num" w:pos="360"/>
      </w:tabs>
      <w:spacing w:before="100" w:line="312" w:lineRule="auto"/>
      <w:ind w:left="2160" w:firstLine="0"/>
    </w:pPr>
    <w:rPr>
      <w:rFonts w:eastAsia="Times New Roman"/>
      <w:lang w:eastAsia="en-AU"/>
    </w:rPr>
  </w:style>
  <w:style w:type="character" w:customStyle="1" w:styleId="Heading1Char">
    <w:name w:val="Heading 1 Char"/>
    <w:basedOn w:val="DefaultParagraphFont"/>
    <w:link w:val="Heading1"/>
    <w:uiPriority w:val="9"/>
    <w:rsid w:val="000D5BDE"/>
    <w:rPr>
      <w:rFonts w:asciiTheme="majorHAnsi" w:eastAsia="Times New Roman" w:hAnsiTheme="majorHAnsi" w:cs="Arial"/>
      <w:b/>
      <w:bCs/>
      <w:color w:val="292B67" w:themeColor="accent1"/>
      <w:kern w:val="32"/>
      <w:sz w:val="32"/>
      <w:szCs w:val="32"/>
    </w:rPr>
  </w:style>
  <w:style w:type="character" w:customStyle="1" w:styleId="Heading2Char">
    <w:name w:val="Heading 2 Char"/>
    <w:basedOn w:val="DefaultParagraphFont"/>
    <w:link w:val="Heading2"/>
    <w:uiPriority w:val="9"/>
    <w:rsid w:val="00AC5176"/>
    <w:rPr>
      <w:rFonts w:asciiTheme="majorHAnsi" w:eastAsia="Times New Roman" w:hAnsiTheme="majorHAnsi" w:cs="Arial"/>
      <w:iCs/>
      <w:color w:val="22789A" w:themeColor="accent3"/>
      <w:kern w:val="32"/>
      <w:szCs w:val="28"/>
    </w:rPr>
  </w:style>
  <w:style w:type="character" w:customStyle="1" w:styleId="Heading3Char">
    <w:name w:val="Heading 3 Char"/>
    <w:basedOn w:val="DefaultParagraphFont"/>
    <w:link w:val="Heading3"/>
    <w:uiPriority w:val="9"/>
    <w:rsid w:val="0001161C"/>
    <w:rPr>
      <w:rFonts w:asciiTheme="majorHAnsi" w:eastAsia="Times New Roman" w:hAnsiTheme="majorHAnsi" w:cs="Arial"/>
      <w:bCs/>
      <w:color w:val="22789A"/>
    </w:rPr>
  </w:style>
  <w:style w:type="paragraph" w:styleId="TOC1">
    <w:name w:val="toc 1"/>
    <w:basedOn w:val="Normal"/>
    <w:next w:val="Normal"/>
    <w:autoRedefine/>
    <w:uiPriority w:val="39"/>
    <w:rsid w:val="00C1400E"/>
    <w:pPr>
      <w:tabs>
        <w:tab w:val="left" w:pos="1560"/>
        <w:tab w:val="right" w:pos="8931"/>
      </w:tabs>
      <w:spacing w:before="240" w:after="120"/>
      <w:ind w:left="993" w:right="798" w:hanging="709"/>
    </w:pPr>
    <w:rPr>
      <w:rFonts w:eastAsia="Times New Roman"/>
      <w:b/>
      <w:noProof/>
      <w:szCs w:val="24"/>
    </w:rPr>
  </w:style>
  <w:style w:type="paragraph" w:styleId="FootnoteText">
    <w:name w:val="footnote text"/>
    <w:basedOn w:val="Normal"/>
    <w:link w:val="FootnoteTextChar"/>
    <w:uiPriority w:val="19"/>
    <w:rsid w:val="009F2590"/>
    <w:pPr>
      <w:ind w:left="2268" w:hanging="108"/>
    </w:pPr>
    <w:rPr>
      <w:rFonts w:eastAsia="Times New Roman"/>
      <w:sz w:val="16"/>
    </w:rPr>
  </w:style>
  <w:style w:type="character" w:customStyle="1" w:styleId="FootnoteTextChar">
    <w:name w:val="Footnote Text Char"/>
    <w:basedOn w:val="DefaultParagraphFont"/>
    <w:link w:val="FootnoteText"/>
    <w:uiPriority w:val="19"/>
    <w:rsid w:val="009F2590"/>
    <w:rPr>
      <w:rFonts w:ascii="Arial" w:eastAsia="Times New Roman" w:hAnsi="Arial"/>
      <w:color w:val="595A5B"/>
      <w:sz w:val="16"/>
    </w:rPr>
  </w:style>
  <w:style w:type="paragraph" w:styleId="Footer">
    <w:name w:val="footer"/>
    <w:basedOn w:val="Normal"/>
    <w:link w:val="FooterChar"/>
    <w:uiPriority w:val="99"/>
    <w:rsid w:val="00E35ECE"/>
    <w:pPr>
      <w:tabs>
        <w:tab w:val="right" w:pos="9680"/>
      </w:tabs>
      <w:ind w:left="0"/>
    </w:pPr>
    <w:rPr>
      <w:rFonts w:eastAsia="Times New Roman"/>
      <w:sz w:val="16"/>
      <w:szCs w:val="16"/>
    </w:rPr>
  </w:style>
  <w:style w:type="character" w:customStyle="1" w:styleId="FooterChar">
    <w:name w:val="Footer Char"/>
    <w:basedOn w:val="DefaultParagraphFont"/>
    <w:link w:val="Footer"/>
    <w:uiPriority w:val="99"/>
    <w:rsid w:val="00E35ECE"/>
    <w:rPr>
      <w:rFonts w:ascii="Arial" w:eastAsia="Times New Roman" w:hAnsi="Arial"/>
      <w:color w:val="595A5B"/>
      <w:sz w:val="16"/>
      <w:szCs w:val="16"/>
    </w:rPr>
  </w:style>
  <w:style w:type="paragraph" w:styleId="TableofFigures">
    <w:name w:val="table of figures"/>
    <w:basedOn w:val="Normal"/>
    <w:next w:val="Normal"/>
    <w:uiPriority w:val="99"/>
    <w:rsid w:val="009F2590"/>
    <w:pPr>
      <w:tabs>
        <w:tab w:val="right" w:pos="8930"/>
      </w:tabs>
      <w:ind w:left="1134" w:right="804" w:hanging="440"/>
      <w:jc w:val="left"/>
    </w:pPr>
    <w:rPr>
      <w:rFonts w:asciiTheme="minorHAnsi" w:eastAsia="Times New Roman" w:hAnsiTheme="minorHAnsi"/>
      <w:b/>
      <w:bCs/>
      <w:noProof/>
      <w:lang w:val="en-US"/>
    </w:rPr>
  </w:style>
  <w:style w:type="character" w:styleId="FootnoteReference">
    <w:name w:val="footnote reference"/>
    <w:basedOn w:val="DefaultParagraphFont"/>
    <w:uiPriority w:val="19"/>
    <w:rsid w:val="009F2590"/>
    <w:rPr>
      <w:vertAlign w:val="superscript"/>
    </w:rPr>
  </w:style>
  <w:style w:type="character" w:styleId="PageNumber">
    <w:name w:val="page number"/>
    <w:rsid w:val="009F2590"/>
    <w:rPr>
      <w:rFonts w:ascii="Arial" w:hAnsi="Arial"/>
      <w:sz w:val="18"/>
    </w:rPr>
  </w:style>
  <w:style w:type="paragraph" w:styleId="BodyText">
    <w:name w:val="Body Text"/>
    <w:link w:val="BodyTextChar"/>
    <w:qFormat/>
    <w:rsid w:val="00E12B1D"/>
    <w:pPr>
      <w:spacing w:after="180" w:line="270" w:lineRule="exact"/>
      <w:jc w:val="both"/>
    </w:pPr>
    <w:rPr>
      <w:color w:val="595A5B"/>
      <w:sz w:val="20"/>
    </w:rPr>
  </w:style>
  <w:style w:type="character" w:customStyle="1" w:styleId="BodyTextChar">
    <w:name w:val="Body Text Char"/>
    <w:basedOn w:val="DefaultParagraphFont"/>
    <w:link w:val="BodyText"/>
    <w:rsid w:val="00E12B1D"/>
    <w:rPr>
      <w:color w:val="595A5B"/>
      <w:sz w:val="20"/>
    </w:rPr>
  </w:style>
  <w:style w:type="paragraph" w:styleId="Subtitle">
    <w:name w:val="Subtitle"/>
    <w:basedOn w:val="Normal"/>
    <w:next w:val="Normal"/>
    <w:link w:val="SubtitleChar"/>
    <w:rsid w:val="009F2590"/>
    <w:pPr>
      <w:numPr>
        <w:ilvl w:val="1"/>
      </w:numPr>
      <w:ind w:left="2160"/>
    </w:pPr>
    <w:rPr>
      <w:rFonts w:asciiTheme="majorHAnsi" w:eastAsiaTheme="majorEastAsia" w:hAnsiTheme="majorHAnsi" w:cstheme="majorBidi"/>
      <w:i/>
      <w:iCs/>
      <w:color w:val="292B67" w:themeColor="accent1"/>
      <w:spacing w:val="15"/>
      <w:sz w:val="24"/>
      <w:szCs w:val="24"/>
    </w:rPr>
  </w:style>
  <w:style w:type="character" w:customStyle="1" w:styleId="SubtitleChar">
    <w:name w:val="Subtitle Char"/>
    <w:basedOn w:val="DefaultParagraphFont"/>
    <w:link w:val="Subtitle"/>
    <w:rsid w:val="009F2590"/>
    <w:rPr>
      <w:rFonts w:asciiTheme="majorHAnsi" w:eastAsiaTheme="majorEastAsia" w:hAnsiTheme="majorHAnsi" w:cstheme="majorBidi"/>
      <w:i/>
      <w:iCs/>
      <w:color w:val="292B67" w:themeColor="accent1"/>
      <w:spacing w:val="15"/>
      <w:sz w:val="24"/>
      <w:szCs w:val="24"/>
    </w:rPr>
  </w:style>
  <w:style w:type="character" w:styleId="Hyperlink">
    <w:name w:val="Hyperlink"/>
    <w:uiPriority w:val="99"/>
    <w:rsid w:val="009F2590"/>
    <w:rPr>
      <w:color w:val="22789A"/>
      <w:u w:val="single"/>
    </w:rPr>
  </w:style>
  <w:style w:type="table" w:styleId="Table3Deffects1">
    <w:name w:val="Table 3D effects 1"/>
    <w:basedOn w:val="TableNormal"/>
    <w:rsid w:val="009F2590"/>
    <w:rPr>
      <w:rFonts w:eastAsia="Times New Roman"/>
      <w:lang w:eastAsia="en-A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BalloonText">
    <w:name w:val="Balloon Text"/>
    <w:basedOn w:val="Normal"/>
    <w:link w:val="BalloonTextChar"/>
    <w:uiPriority w:val="99"/>
    <w:rsid w:val="009F2590"/>
    <w:rPr>
      <w:rFonts w:ascii="Tahoma" w:eastAsia="Times New Roman" w:hAnsi="Tahoma" w:cs="Tahoma"/>
      <w:sz w:val="16"/>
      <w:szCs w:val="16"/>
    </w:rPr>
  </w:style>
  <w:style w:type="character" w:customStyle="1" w:styleId="BalloonTextChar">
    <w:name w:val="Balloon Text Char"/>
    <w:basedOn w:val="DefaultParagraphFont"/>
    <w:link w:val="BalloonText"/>
    <w:uiPriority w:val="99"/>
    <w:rsid w:val="009F2590"/>
    <w:rPr>
      <w:rFonts w:ascii="Tahoma" w:eastAsia="Times New Roman" w:hAnsi="Tahoma" w:cs="Tahoma"/>
      <w:color w:val="595A5B"/>
      <w:sz w:val="16"/>
      <w:szCs w:val="16"/>
    </w:rPr>
  </w:style>
  <w:style w:type="table" w:styleId="TableGrid">
    <w:name w:val="Table Grid"/>
    <w:basedOn w:val="TableNormal"/>
    <w:uiPriority w:val="59"/>
    <w:rsid w:val="009F2590"/>
    <w:rPr>
      <w:rFonts w:eastAsia="Times New Roman"/>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F3372"/>
    <w:rPr>
      <w:color w:val="808080"/>
    </w:rPr>
  </w:style>
  <w:style w:type="table" w:styleId="MediumGrid3-Accent1">
    <w:name w:val="Medium Grid 3 Accent 1"/>
    <w:basedOn w:val="TableNormal"/>
    <w:uiPriority w:val="69"/>
    <w:rsid w:val="009F2590"/>
    <w:rPr>
      <w:rFonts w:eastAsia="Times New Roman"/>
      <w:lang w:eastAsia="en-AU"/>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EBFE5"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292B67"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292B67"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292B67"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292B67"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C7ECB"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C7ECB" w:themeFill="accent1" w:themeFillTint="7F"/>
      </w:tcPr>
    </w:tblStylePr>
  </w:style>
  <w:style w:type="table" w:styleId="ColorfulGrid-Accent1">
    <w:name w:val="Colorful Grid Accent 1"/>
    <w:basedOn w:val="TableNormal"/>
    <w:uiPriority w:val="73"/>
    <w:rsid w:val="009F2590"/>
    <w:rPr>
      <w:rFonts w:eastAsia="Times New Roman"/>
      <w:color w:val="595A5B" w:themeColor="text1"/>
      <w:lang w:eastAsia="en-AU"/>
    </w:rPr>
    <w:tblPr>
      <w:tblStyleRowBandSize w:val="1"/>
      <w:tblStyleColBandSize w:val="1"/>
      <w:tblBorders>
        <w:insideH w:val="single" w:sz="4" w:space="0" w:color="FFFFFF" w:themeColor="background1"/>
      </w:tblBorders>
    </w:tblPr>
    <w:tcPr>
      <w:shd w:val="clear" w:color="auto" w:fill="CACBEA" w:themeFill="accent1" w:themeFillTint="33"/>
    </w:tcPr>
    <w:tblStylePr w:type="firstRow">
      <w:rPr>
        <w:b/>
        <w:bCs/>
      </w:rPr>
      <w:tblPr/>
      <w:tcPr>
        <w:shd w:val="clear" w:color="auto" w:fill="9697D5" w:themeFill="accent1" w:themeFillTint="66"/>
      </w:tcPr>
    </w:tblStylePr>
    <w:tblStylePr w:type="lastRow">
      <w:rPr>
        <w:b/>
        <w:bCs/>
        <w:color w:val="595A5B" w:themeColor="text1"/>
      </w:rPr>
      <w:tblPr/>
      <w:tcPr>
        <w:shd w:val="clear" w:color="auto" w:fill="9697D5" w:themeFill="accent1" w:themeFillTint="66"/>
      </w:tcPr>
    </w:tblStylePr>
    <w:tblStylePr w:type="firstCol">
      <w:rPr>
        <w:color w:val="FFFFFF" w:themeColor="background1"/>
      </w:rPr>
      <w:tblPr/>
      <w:tcPr>
        <w:shd w:val="clear" w:color="auto" w:fill="1E204C" w:themeFill="accent1" w:themeFillShade="BF"/>
      </w:tcPr>
    </w:tblStylePr>
    <w:tblStylePr w:type="lastCol">
      <w:rPr>
        <w:color w:val="FFFFFF" w:themeColor="background1"/>
      </w:rPr>
      <w:tblPr/>
      <w:tcPr>
        <w:shd w:val="clear" w:color="auto" w:fill="1E204C" w:themeFill="accent1" w:themeFillShade="BF"/>
      </w:tcPr>
    </w:tblStylePr>
    <w:tblStylePr w:type="band1Vert">
      <w:tblPr/>
      <w:tcPr>
        <w:shd w:val="clear" w:color="auto" w:fill="7C7ECB" w:themeFill="accent1" w:themeFillTint="7F"/>
      </w:tcPr>
    </w:tblStylePr>
    <w:tblStylePr w:type="band1Horz">
      <w:tblPr/>
      <w:tcPr>
        <w:shd w:val="clear" w:color="auto" w:fill="7C7ECB" w:themeFill="accent1" w:themeFillTint="7F"/>
      </w:tcPr>
    </w:tblStylePr>
  </w:style>
  <w:style w:type="character" w:styleId="IntenseEmphasis">
    <w:name w:val="Intense Emphasis"/>
    <w:basedOn w:val="DefaultParagraphFont"/>
    <w:uiPriority w:val="21"/>
    <w:rsid w:val="009F2590"/>
    <w:rPr>
      <w:b/>
      <w:bCs/>
      <w:i/>
      <w:iCs/>
      <w:color w:val="292B67" w:themeColor="accent1"/>
    </w:rPr>
  </w:style>
  <w:style w:type="paragraph" w:styleId="Bibliography">
    <w:name w:val="Bibliography"/>
    <w:basedOn w:val="Normal"/>
    <w:next w:val="Normal"/>
    <w:uiPriority w:val="37"/>
    <w:unhideWhenUsed/>
    <w:rsid w:val="009F2590"/>
    <w:rPr>
      <w:rFonts w:eastAsia="Times New Roman"/>
    </w:rPr>
  </w:style>
  <w:style w:type="paragraph" w:styleId="TOCHeading">
    <w:name w:val="TOC Heading"/>
    <w:basedOn w:val="Heading1"/>
    <w:next w:val="Normal"/>
    <w:uiPriority w:val="39"/>
    <w:unhideWhenUsed/>
    <w:qFormat/>
    <w:rsid w:val="008F3372"/>
    <w:pPr>
      <w:keepLines/>
      <w:spacing w:before="480" w:after="0" w:line="276" w:lineRule="auto"/>
      <w:outlineLvl w:val="9"/>
    </w:pPr>
    <w:rPr>
      <w:rFonts w:eastAsiaTheme="majorEastAsia" w:cstheme="majorBidi"/>
      <w:color w:val="1E204C" w:themeColor="accent1" w:themeShade="BF"/>
      <w:kern w:val="0"/>
      <w:sz w:val="28"/>
      <w:szCs w:val="28"/>
      <w:lang w:eastAsia="ja-JP"/>
    </w:rPr>
  </w:style>
  <w:style w:type="table" w:styleId="Table3Deffects2">
    <w:name w:val="Table 3D effects 2"/>
    <w:basedOn w:val="TableNormal"/>
    <w:rsid w:val="009F2590"/>
    <w:rPr>
      <w:rFonts w:eastAsia="Times New Roman"/>
      <w:lang w:eastAsia="en-A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OCEHeadings">
    <w:name w:val="OCE Headings"/>
    <w:uiPriority w:val="99"/>
    <w:rsid w:val="0001161C"/>
    <w:pPr>
      <w:numPr>
        <w:numId w:val="3"/>
      </w:numPr>
    </w:pPr>
  </w:style>
  <w:style w:type="character" w:customStyle="1" w:styleId="Heading4Char">
    <w:name w:val="Heading 4 Char"/>
    <w:basedOn w:val="DefaultParagraphFont"/>
    <w:link w:val="Heading4"/>
    <w:uiPriority w:val="9"/>
    <w:rsid w:val="009F2590"/>
    <w:rPr>
      <w:rFonts w:asciiTheme="majorHAnsi" w:eastAsiaTheme="majorEastAsia" w:hAnsiTheme="majorHAnsi" w:cstheme="majorBidi"/>
      <w:b/>
      <w:bCs/>
      <w:i/>
      <w:iCs/>
      <w:sz w:val="20"/>
    </w:rPr>
  </w:style>
  <w:style w:type="character" w:customStyle="1" w:styleId="Heading6Char">
    <w:name w:val="Heading 6 Char"/>
    <w:basedOn w:val="DefaultParagraphFont"/>
    <w:link w:val="Heading6"/>
    <w:uiPriority w:val="1"/>
    <w:rsid w:val="0001161C"/>
    <w:rPr>
      <w:rFonts w:asciiTheme="majorHAnsi" w:eastAsiaTheme="majorEastAsia" w:hAnsiTheme="majorHAnsi" w:cstheme="majorBidi"/>
      <w:b/>
      <w:iCs/>
      <w:color w:val="22789A"/>
      <w:sz w:val="32"/>
    </w:rPr>
  </w:style>
  <w:style w:type="paragraph" w:styleId="ListParagraph">
    <w:name w:val="List Paragraph"/>
    <w:basedOn w:val="ListBullet"/>
    <w:link w:val="ListParagraphChar"/>
    <w:uiPriority w:val="34"/>
    <w:qFormat/>
    <w:rsid w:val="009F2590"/>
    <w:rPr>
      <w:lang w:val="en"/>
    </w:rPr>
  </w:style>
  <w:style w:type="character" w:customStyle="1" w:styleId="ListParagraphChar">
    <w:name w:val="List Paragraph Char"/>
    <w:basedOn w:val="DefaultParagraphFont"/>
    <w:link w:val="ListParagraph"/>
    <w:uiPriority w:val="34"/>
    <w:rsid w:val="009F2590"/>
    <w:rPr>
      <w:color w:val="595A5B"/>
      <w:sz w:val="20"/>
      <w:lang w:val="en"/>
    </w:rPr>
  </w:style>
  <w:style w:type="numbering" w:customStyle="1" w:styleId="OCEBulletedList">
    <w:name w:val="OCE Bulleted List"/>
    <w:uiPriority w:val="99"/>
    <w:rsid w:val="009C3B91"/>
    <w:pPr>
      <w:numPr>
        <w:numId w:val="4"/>
      </w:numPr>
    </w:pPr>
  </w:style>
  <w:style w:type="paragraph" w:styleId="ListBullet">
    <w:name w:val="List Bullet"/>
    <w:basedOn w:val="BodyText"/>
    <w:uiPriority w:val="99"/>
    <w:qFormat/>
    <w:rsid w:val="009C3B91"/>
    <w:pPr>
      <w:numPr>
        <w:numId w:val="11"/>
      </w:numPr>
      <w:spacing w:after="120"/>
    </w:pPr>
  </w:style>
  <w:style w:type="paragraph" w:styleId="ListContinue2">
    <w:name w:val="List Continue 2"/>
    <w:basedOn w:val="Normal"/>
    <w:rsid w:val="009F2590"/>
    <w:pPr>
      <w:spacing w:after="120"/>
      <w:ind w:left="566"/>
      <w:contextualSpacing/>
    </w:pPr>
  </w:style>
  <w:style w:type="paragraph" w:styleId="ListBullet2">
    <w:name w:val="List Bullet 2"/>
    <w:basedOn w:val="ListBullet"/>
    <w:uiPriority w:val="99"/>
    <w:qFormat/>
    <w:rsid w:val="00D77D5B"/>
    <w:pPr>
      <w:numPr>
        <w:ilvl w:val="1"/>
      </w:numPr>
      <w:ind w:left="709"/>
    </w:pPr>
  </w:style>
  <w:style w:type="paragraph" w:styleId="ListBullet4">
    <w:name w:val="List Bullet 4"/>
    <w:basedOn w:val="ListBullet3"/>
    <w:uiPriority w:val="99"/>
    <w:rsid w:val="00E12B1D"/>
    <w:pPr>
      <w:numPr>
        <w:ilvl w:val="3"/>
      </w:numPr>
    </w:pPr>
  </w:style>
  <w:style w:type="paragraph" w:styleId="ListBullet3">
    <w:name w:val="List Bullet 3"/>
    <w:basedOn w:val="ListBullet2"/>
    <w:uiPriority w:val="99"/>
    <w:qFormat/>
    <w:rsid w:val="00D77D5B"/>
    <w:pPr>
      <w:numPr>
        <w:ilvl w:val="2"/>
      </w:numPr>
      <w:ind w:left="1134"/>
    </w:pPr>
  </w:style>
  <w:style w:type="paragraph" w:styleId="ListNumber">
    <w:name w:val="List Number"/>
    <w:basedOn w:val="Normal"/>
    <w:uiPriority w:val="99"/>
    <w:qFormat/>
    <w:rsid w:val="00070749"/>
    <w:pPr>
      <w:numPr>
        <w:numId w:val="10"/>
      </w:numPr>
      <w:spacing w:after="120"/>
    </w:pPr>
  </w:style>
  <w:style w:type="paragraph" w:styleId="ListNumber2">
    <w:name w:val="List Number 2"/>
    <w:basedOn w:val="ListNumber"/>
    <w:uiPriority w:val="99"/>
    <w:qFormat/>
    <w:rsid w:val="00070749"/>
    <w:pPr>
      <w:numPr>
        <w:ilvl w:val="1"/>
      </w:numPr>
    </w:pPr>
  </w:style>
  <w:style w:type="paragraph" w:styleId="ListNumber3">
    <w:name w:val="List Number 3"/>
    <w:basedOn w:val="ListNumber2"/>
    <w:uiPriority w:val="99"/>
    <w:qFormat/>
    <w:rsid w:val="00070749"/>
    <w:pPr>
      <w:numPr>
        <w:ilvl w:val="2"/>
      </w:numPr>
    </w:pPr>
  </w:style>
  <w:style w:type="character" w:customStyle="1" w:styleId="Heading7Char">
    <w:name w:val="Heading 7 Char"/>
    <w:basedOn w:val="DefaultParagraphFont"/>
    <w:link w:val="Heading7"/>
    <w:uiPriority w:val="1"/>
    <w:rsid w:val="0001161C"/>
    <w:rPr>
      <w:rFonts w:asciiTheme="majorHAnsi" w:eastAsiaTheme="majorEastAsia" w:hAnsiTheme="majorHAnsi" w:cstheme="majorBidi"/>
      <w:b/>
      <w:iCs/>
      <w:color w:val="6CCCDE"/>
    </w:rPr>
  </w:style>
  <w:style w:type="paragraph" w:styleId="BodyTextFirstIndent">
    <w:name w:val="Body Text First Indent"/>
    <w:basedOn w:val="BodyText"/>
    <w:link w:val="BodyTextFirstIndentChar"/>
    <w:semiHidden/>
    <w:rsid w:val="008F3372"/>
    <w:pPr>
      <w:ind w:firstLine="360"/>
    </w:pPr>
    <w:rPr>
      <w:rFonts w:ascii="Arial" w:hAnsi="Arial"/>
    </w:rPr>
  </w:style>
  <w:style w:type="character" w:customStyle="1" w:styleId="BodyTextFirstIndentChar">
    <w:name w:val="Body Text First Indent Char"/>
    <w:basedOn w:val="BodyTextChar"/>
    <w:link w:val="BodyTextFirstIndent"/>
    <w:semiHidden/>
    <w:rsid w:val="008F3372"/>
    <w:rPr>
      <w:rFonts w:ascii="Arial" w:hAnsi="Arial"/>
      <w:color w:val="595A5B"/>
      <w:sz w:val="20"/>
    </w:rPr>
  </w:style>
  <w:style w:type="paragraph" w:styleId="BodyTextIndent">
    <w:name w:val="Body Text Indent"/>
    <w:basedOn w:val="Normal"/>
    <w:link w:val="BodyTextIndentChar"/>
    <w:semiHidden/>
    <w:unhideWhenUsed/>
    <w:rsid w:val="008F3372"/>
    <w:pPr>
      <w:spacing w:after="120"/>
      <w:ind w:left="283"/>
    </w:pPr>
  </w:style>
  <w:style w:type="character" w:customStyle="1" w:styleId="BodyTextIndentChar">
    <w:name w:val="Body Text Indent Char"/>
    <w:basedOn w:val="DefaultParagraphFont"/>
    <w:link w:val="BodyTextIndent"/>
    <w:semiHidden/>
    <w:rsid w:val="008F3372"/>
    <w:rPr>
      <w:rFonts w:ascii="Arial" w:hAnsi="Arial"/>
      <w:color w:val="595A5B"/>
      <w:sz w:val="20"/>
    </w:rPr>
  </w:style>
  <w:style w:type="paragraph" w:styleId="BodyTextFirstIndent2">
    <w:name w:val="Body Text First Indent 2"/>
    <w:basedOn w:val="BodyTextIndent"/>
    <w:link w:val="BodyTextFirstIndent2Char"/>
    <w:semiHidden/>
    <w:rsid w:val="008F3372"/>
    <w:pPr>
      <w:spacing w:after="180"/>
      <w:ind w:left="360" w:firstLine="360"/>
    </w:pPr>
  </w:style>
  <w:style w:type="character" w:customStyle="1" w:styleId="BodyTextFirstIndent2Char">
    <w:name w:val="Body Text First Indent 2 Char"/>
    <w:basedOn w:val="BodyTextIndentChar"/>
    <w:link w:val="BodyTextFirstIndent2"/>
    <w:semiHidden/>
    <w:rsid w:val="008F3372"/>
    <w:rPr>
      <w:rFonts w:ascii="Arial" w:hAnsi="Arial"/>
      <w:color w:val="595A5B"/>
      <w:sz w:val="20"/>
    </w:rPr>
  </w:style>
  <w:style w:type="character" w:customStyle="1" w:styleId="Heading8Char">
    <w:name w:val="Heading 8 Char"/>
    <w:basedOn w:val="DefaultParagraphFont"/>
    <w:link w:val="Heading8"/>
    <w:uiPriority w:val="1"/>
    <w:rsid w:val="0001161C"/>
    <w:rPr>
      <w:rFonts w:asciiTheme="majorHAnsi" w:eastAsiaTheme="majorEastAsia" w:hAnsiTheme="majorHAnsi" w:cstheme="majorBidi"/>
      <w:color w:val="22789A"/>
      <w:szCs w:val="20"/>
    </w:rPr>
  </w:style>
  <w:style w:type="paragraph" w:customStyle="1" w:styleId="Source">
    <w:name w:val="Source"/>
    <w:basedOn w:val="Normal"/>
    <w:next w:val="BodyText"/>
    <w:link w:val="SourceChar"/>
    <w:qFormat/>
    <w:rsid w:val="00E52C9F"/>
    <w:pPr>
      <w:keepLines/>
      <w:pBdr>
        <w:bottom w:val="single" w:sz="4" w:space="1" w:color="595A5B"/>
      </w:pBdr>
      <w:spacing w:before="60" w:after="360" w:line="270" w:lineRule="exact"/>
      <w:ind w:left="0"/>
    </w:pPr>
    <w:rPr>
      <w:rFonts w:eastAsia="Times New Roman" w:cs="Arial"/>
      <w:color w:val="22789A"/>
      <w:sz w:val="16"/>
      <w:szCs w:val="20"/>
      <w:lang w:val="en"/>
    </w:rPr>
  </w:style>
  <w:style w:type="character" w:customStyle="1" w:styleId="SourceChar">
    <w:name w:val="Source Char"/>
    <w:basedOn w:val="DefaultParagraphFont"/>
    <w:link w:val="Source"/>
    <w:rsid w:val="00E52C9F"/>
    <w:rPr>
      <w:rFonts w:ascii="Arial" w:eastAsia="Times New Roman" w:hAnsi="Arial" w:cs="Arial"/>
      <w:color w:val="22789A"/>
      <w:sz w:val="16"/>
      <w:szCs w:val="20"/>
      <w:lang w:val="en"/>
    </w:rPr>
  </w:style>
  <w:style w:type="paragraph" w:customStyle="1" w:styleId="Tabletext">
    <w:name w:val="Table text"/>
    <w:basedOn w:val="Normal"/>
    <w:link w:val="TabletextChar"/>
    <w:qFormat/>
    <w:rsid w:val="009F2590"/>
    <w:pPr>
      <w:keepNext/>
      <w:keepLines/>
      <w:spacing w:before="60" w:after="60" w:line="240" w:lineRule="auto"/>
      <w:ind w:left="0"/>
      <w:jc w:val="left"/>
    </w:pPr>
    <w:rPr>
      <w:rFonts w:cs="Arial"/>
      <w:sz w:val="18"/>
      <w:szCs w:val="18"/>
    </w:rPr>
  </w:style>
  <w:style w:type="character" w:customStyle="1" w:styleId="TabletextChar">
    <w:name w:val="Table text Char"/>
    <w:basedOn w:val="DefaultParagraphFont"/>
    <w:link w:val="Tabletext"/>
    <w:rsid w:val="009F2590"/>
    <w:rPr>
      <w:rFonts w:ascii="Arial" w:hAnsi="Arial" w:cs="Arial"/>
      <w:color w:val="595A5B"/>
      <w:sz w:val="18"/>
      <w:szCs w:val="18"/>
    </w:rPr>
  </w:style>
  <w:style w:type="paragraph" w:customStyle="1" w:styleId="Tableheader">
    <w:name w:val="Table header"/>
    <w:basedOn w:val="Normal"/>
    <w:link w:val="TableheaderChar"/>
    <w:qFormat/>
    <w:rsid w:val="00DE7755"/>
    <w:pPr>
      <w:keepNext/>
      <w:spacing w:before="120" w:after="120" w:line="240" w:lineRule="auto"/>
      <w:ind w:left="0"/>
      <w:jc w:val="left"/>
    </w:pPr>
    <w:rPr>
      <w:rFonts w:cs="Arial"/>
      <w:i/>
      <w:color w:val="FFFFFF"/>
      <w:sz w:val="18"/>
      <w:szCs w:val="18"/>
    </w:rPr>
  </w:style>
  <w:style w:type="character" w:customStyle="1" w:styleId="TableheaderChar">
    <w:name w:val="Table header Char"/>
    <w:basedOn w:val="DefaultParagraphFont"/>
    <w:link w:val="Tableheader"/>
    <w:rsid w:val="00DE7755"/>
    <w:rPr>
      <w:rFonts w:ascii="Arial" w:hAnsi="Arial" w:cs="Arial"/>
      <w:i/>
      <w:color w:val="FFFFFF"/>
      <w:sz w:val="18"/>
      <w:szCs w:val="18"/>
    </w:rPr>
  </w:style>
  <w:style w:type="paragraph" w:styleId="Caption">
    <w:name w:val="caption"/>
    <w:basedOn w:val="Normal"/>
    <w:next w:val="Placeholder"/>
    <w:rsid w:val="00E52C9F"/>
    <w:pPr>
      <w:keepNext/>
      <w:keepLines/>
      <w:pBdr>
        <w:top w:val="single" w:sz="2" w:space="1" w:color="595A5B"/>
      </w:pBdr>
      <w:spacing w:before="360" w:after="240" w:line="240" w:lineRule="atLeast"/>
      <w:ind w:left="0"/>
    </w:pPr>
    <w:rPr>
      <w:bCs/>
      <w:color w:val="22789A"/>
      <w:sz w:val="18"/>
      <w:szCs w:val="18"/>
    </w:rPr>
  </w:style>
  <w:style w:type="paragraph" w:customStyle="1" w:styleId="Note">
    <w:name w:val="Note"/>
    <w:basedOn w:val="Source"/>
    <w:rsid w:val="00E52C9F"/>
    <w:pPr>
      <w:keepNext/>
      <w:spacing w:after="60"/>
    </w:pPr>
  </w:style>
  <w:style w:type="table" w:customStyle="1" w:styleId="OCETable">
    <w:name w:val="OCE Table"/>
    <w:basedOn w:val="TableNormal"/>
    <w:uiPriority w:val="99"/>
    <w:rsid w:val="009F2590"/>
    <w:pPr>
      <w:spacing w:after="0" w:line="240" w:lineRule="auto"/>
    </w:pPr>
    <w:rPr>
      <w:sz w:val="18"/>
    </w:rPr>
    <w:tblPr/>
    <w:tcPr>
      <w:shd w:val="clear" w:color="auto" w:fill="CAE7F3"/>
    </w:tcPr>
    <w:tblStylePr w:type="firstRow">
      <w:rPr>
        <w:rFonts w:asciiTheme="minorHAnsi" w:hAnsiTheme="minorHAnsi"/>
        <w:b w:val="0"/>
        <w:i/>
        <w:color w:val="FFFFFF"/>
        <w:sz w:val="18"/>
      </w:rPr>
      <w:tblPr/>
      <w:tcPr>
        <w:shd w:val="clear" w:color="auto" w:fill="22789A"/>
      </w:tcPr>
    </w:tblStylePr>
  </w:style>
  <w:style w:type="paragraph" w:customStyle="1" w:styleId="CaptionWide">
    <w:name w:val="Caption Wide"/>
    <w:basedOn w:val="Caption"/>
    <w:next w:val="PlaceholderWide"/>
    <w:rsid w:val="00382BE7"/>
    <w:pPr>
      <w:ind w:left="-1985"/>
    </w:pPr>
  </w:style>
  <w:style w:type="paragraph" w:customStyle="1" w:styleId="NoteWide">
    <w:name w:val="Note Wide"/>
    <w:basedOn w:val="Note"/>
    <w:rsid w:val="00114BB1"/>
    <w:pPr>
      <w:ind w:left="-1985"/>
    </w:pPr>
  </w:style>
  <w:style w:type="paragraph" w:customStyle="1" w:styleId="SourceWide">
    <w:name w:val="Source Wide"/>
    <w:basedOn w:val="Source"/>
    <w:next w:val="BodyText"/>
    <w:rsid w:val="00114BB1"/>
    <w:pPr>
      <w:ind w:left="-1985"/>
    </w:pPr>
  </w:style>
  <w:style w:type="paragraph" w:customStyle="1" w:styleId="Placeholder">
    <w:name w:val="Placeholder"/>
    <w:basedOn w:val="Normal"/>
    <w:rsid w:val="009F2590"/>
    <w:pPr>
      <w:keepNext/>
      <w:keepLines/>
      <w:spacing w:after="0" w:line="240" w:lineRule="auto"/>
      <w:ind w:left="0"/>
      <w:jc w:val="center"/>
    </w:pPr>
    <w:rPr>
      <w:sz w:val="18"/>
    </w:rPr>
  </w:style>
  <w:style w:type="paragraph" w:customStyle="1" w:styleId="PlaceholderWide">
    <w:name w:val="Placeholder Wide"/>
    <w:basedOn w:val="Placeholder"/>
    <w:rsid w:val="009F2590"/>
  </w:style>
  <w:style w:type="paragraph" w:customStyle="1" w:styleId="Boxtext">
    <w:name w:val="Box text"/>
    <w:basedOn w:val="Placeholder"/>
    <w:rsid w:val="000A29BA"/>
    <w:pPr>
      <w:spacing w:before="120" w:after="120" w:line="260" w:lineRule="atLeast"/>
      <w:jc w:val="left"/>
    </w:pPr>
    <w:rPr>
      <w:rFonts w:eastAsia="Times New Roman" w:cs="Arial"/>
      <w:szCs w:val="18"/>
      <w:lang w:val="en"/>
    </w:rPr>
  </w:style>
  <w:style w:type="numbering" w:customStyle="1" w:styleId="OCENumberedList">
    <w:name w:val="OCE Numbered List"/>
    <w:uiPriority w:val="99"/>
    <w:rsid w:val="00070749"/>
    <w:pPr>
      <w:numPr>
        <w:numId w:val="5"/>
      </w:numPr>
    </w:pPr>
  </w:style>
  <w:style w:type="paragraph" w:customStyle="1" w:styleId="UnnumberedHeading">
    <w:name w:val="Unnumbered Heading"/>
    <w:next w:val="BodyText"/>
    <w:link w:val="UnnumberedHeadingChar"/>
    <w:rsid w:val="00BC03CD"/>
    <w:pPr>
      <w:keepNext/>
      <w:spacing w:before="300" w:after="180" w:line="280" w:lineRule="exact"/>
    </w:pPr>
    <w:rPr>
      <w:rFonts w:ascii="Arial" w:eastAsia="Times New Roman" w:hAnsi="Arial" w:cs="Times New Roman"/>
      <w:b/>
      <w:color w:val="292B67" w:themeColor="accent1"/>
      <w:kern w:val="32"/>
      <w:sz w:val="32"/>
      <w:szCs w:val="20"/>
    </w:rPr>
  </w:style>
  <w:style w:type="character" w:customStyle="1" w:styleId="UnnumberedHeadingChar">
    <w:name w:val="Unnumbered Heading Char"/>
    <w:basedOn w:val="Heading1Char"/>
    <w:link w:val="UnnumberedHeading"/>
    <w:rsid w:val="00BC03CD"/>
    <w:rPr>
      <w:rFonts w:ascii="Arial" w:eastAsia="Times New Roman" w:hAnsi="Arial" w:cs="Times New Roman"/>
      <w:b/>
      <w:bCs w:val="0"/>
      <w:color w:val="292B67" w:themeColor="accent1"/>
      <w:kern w:val="32"/>
      <w:sz w:val="32"/>
      <w:szCs w:val="20"/>
    </w:rPr>
  </w:style>
  <w:style w:type="paragraph" w:styleId="Title">
    <w:name w:val="Title"/>
    <w:basedOn w:val="ResearchPaper"/>
    <w:next w:val="Normal"/>
    <w:link w:val="TitleChar"/>
    <w:rsid w:val="009F2590"/>
    <w:pPr>
      <w:spacing w:before="600" w:after="600" w:line="240" w:lineRule="auto"/>
    </w:pPr>
    <w:rPr>
      <w:rFonts w:asciiTheme="majorHAnsi" w:hAnsiTheme="majorHAnsi"/>
      <w:b w:val="0"/>
      <w:color w:val="22789A"/>
      <w:sz w:val="72"/>
    </w:rPr>
  </w:style>
  <w:style w:type="character" w:customStyle="1" w:styleId="TitleChar">
    <w:name w:val="Title Char"/>
    <w:basedOn w:val="DefaultParagraphFont"/>
    <w:link w:val="Title"/>
    <w:rsid w:val="009F2590"/>
    <w:rPr>
      <w:rFonts w:asciiTheme="majorHAnsi" w:eastAsia="Times New Roman" w:hAnsiTheme="majorHAnsi" w:cs="Arial"/>
      <w:caps/>
      <w:color w:val="22789A"/>
      <w:sz w:val="72"/>
      <w:szCs w:val="20"/>
    </w:rPr>
  </w:style>
  <w:style w:type="paragraph" w:customStyle="1" w:styleId="ResearchPaper">
    <w:name w:val="Research Paper #"/>
    <w:basedOn w:val="CoverNormal"/>
    <w:next w:val="CoverNormal"/>
    <w:link w:val="ResearchPaperChar"/>
    <w:rsid w:val="009F2590"/>
    <w:pPr>
      <w:spacing w:before="240" w:line="270" w:lineRule="exact"/>
    </w:pPr>
    <w:rPr>
      <w:rFonts w:eastAsia="Times New Roman" w:cs="Arial"/>
      <w:b/>
      <w:caps/>
      <w:sz w:val="21"/>
      <w:szCs w:val="20"/>
    </w:rPr>
  </w:style>
  <w:style w:type="character" w:customStyle="1" w:styleId="ResearchPaperChar">
    <w:name w:val="Research Paper # Char"/>
    <w:link w:val="ResearchPaper"/>
    <w:rsid w:val="009F2590"/>
    <w:rPr>
      <w:rFonts w:eastAsia="Times New Roman" w:cs="Arial"/>
      <w:b/>
      <w:caps/>
      <w:color w:val="595A5B"/>
      <w:sz w:val="21"/>
      <w:szCs w:val="20"/>
    </w:rPr>
  </w:style>
  <w:style w:type="paragraph" w:customStyle="1" w:styleId="Author">
    <w:name w:val="Author"/>
    <w:basedOn w:val="Normal"/>
    <w:link w:val="AuthorChar"/>
    <w:rsid w:val="009F2590"/>
    <w:pPr>
      <w:spacing w:before="180" w:line="270" w:lineRule="exact"/>
      <w:ind w:left="0"/>
      <w:jc w:val="left"/>
    </w:pPr>
    <w:rPr>
      <w:rFonts w:eastAsia="Times New Roman" w:cs="Arial"/>
      <w:b/>
      <w:color w:val="22789A"/>
      <w:sz w:val="32"/>
      <w:szCs w:val="20"/>
    </w:rPr>
  </w:style>
  <w:style w:type="character" w:customStyle="1" w:styleId="AuthorChar">
    <w:name w:val="Author Char"/>
    <w:basedOn w:val="DefaultParagraphFont"/>
    <w:link w:val="Author"/>
    <w:rsid w:val="009F2590"/>
    <w:rPr>
      <w:rFonts w:ascii="Arial" w:eastAsia="Times New Roman" w:hAnsi="Arial" w:cs="Arial"/>
      <w:b/>
      <w:color w:val="22789A"/>
      <w:sz w:val="32"/>
      <w:szCs w:val="20"/>
    </w:rPr>
  </w:style>
  <w:style w:type="paragraph" w:customStyle="1" w:styleId="MonthYear">
    <w:name w:val="Month Year"/>
    <w:basedOn w:val="Normal"/>
    <w:link w:val="MonthYearChar"/>
    <w:qFormat/>
    <w:rsid w:val="009F2590"/>
    <w:pPr>
      <w:spacing w:before="720" w:line="270" w:lineRule="exact"/>
      <w:ind w:left="0"/>
      <w:jc w:val="left"/>
    </w:pPr>
    <w:rPr>
      <w:rFonts w:asciiTheme="minorHAnsi" w:eastAsia="Times New Roman" w:hAnsiTheme="minorHAnsi" w:cs="Arial"/>
      <w:b/>
      <w:color w:val="9ED9DF"/>
      <w:szCs w:val="20"/>
    </w:rPr>
  </w:style>
  <w:style w:type="character" w:customStyle="1" w:styleId="MonthYearChar">
    <w:name w:val="Month Year Char"/>
    <w:basedOn w:val="DefaultParagraphFont"/>
    <w:link w:val="MonthYear"/>
    <w:rsid w:val="009F2590"/>
    <w:rPr>
      <w:rFonts w:eastAsia="Times New Roman" w:cs="Arial"/>
      <w:b/>
      <w:color w:val="9ED9DF"/>
      <w:sz w:val="20"/>
      <w:szCs w:val="20"/>
    </w:rPr>
  </w:style>
  <w:style w:type="paragraph" w:customStyle="1" w:styleId="AbstractHeader">
    <w:name w:val="Abstract Header"/>
    <w:basedOn w:val="Normal"/>
    <w:link w:val="AbstractHeaderChar"/>
    <w:uiPriority w:val="9"/>
    <w:qFormat/>
    <w:rsid w:val="009F2590"/>
    <w:pPr>
      <w:spacing w:before="360" w:line="270" w:lineRule="exact"/>
      <w:ind w:left="0"/>
    </w:pPr>
    <w:rPr>
      <w:rFonts w:eastAsia="Times New Roman" w:cs="Arial"/>
      <w:color w:val="22789A"/>
      <w:sz w:val="32"/>
      <w:szCs w:val="20"/>
    </w:rPr>
  </w:style>
  <w:style w:type="character" w:customStyle="1" w:styleId="AbstractHeaderChar">
    <w:name w:val="Abstract Header Char"/>
    <w:basedOn w:val="DefaultParagraphFont"/>
    <w:link w:val="AbstractHeader"/>
    <w:uiPriority w:val="9"/>
    <w:rsid w:val="009F2590"/>
    <w:rPr>
      <w:rFonts w:ascii="Arial" w:eastAsia="Times New Roman" w:hAnsi="Arial" w:cs="Arial"/>
      <w:color w:val="22789A"/>
      <w:sz w:val="32"/>
      <w:szCs w:val="20"/>
    </w:rPr>
  </w:style>
  <w:style w:type="numbering" w:customStyle="1" w:styleId="EASDMultilevelList">
    <w:name w:val="EASD Multilevel List"/>
    <w:uiPriority w:val="99"/>
    <w:rsid w:val="009F2590"/>
    <w:pPr>
      <w:numPr>
        <w:numId w:val="6"/>
      </w:numPr>
    </w:pPr>
  </w:style>
  <w:style w:type="numbering" w:styleId="111111">
    <w:name w:val="Outline List 2"/>
    <w:basedOn w:val="NoList"/>
    <w:rsid w:val="009F2590"/>
    <w:pPr>
      <w:numPr>
        <w:numId w:val="2"/>
      </w:numPr>
    </w:pPr>
  </w:style>
  <w:style w:type="paragraph" w:customStyle="1" w:styleId="Abstractbodytext">
    <w:name w:val="Abstract body text"/>
    <w:basedOn w:val="CoverNormal"/>
    <w:link w:val="AbstractbodytextChar"/>
    <w:uiPriority w:val="9"/>
    <w:semiHidden/>
    <w:rsid w:val="008F3372"/>
    <w:pPr>
      <w:spacing w:before="60" w:after="60" w:line="270" w:lineRule="exact"/>
      <w:jc w:val="both"/>
    </w:pPr>
    <w:rPr>
      <w:rFonts w:eastAsia="Times New Roman" w:cs="Arial"/>
      <w:szCs w:val="20"/>
      <w:lang w:val="en"/>
    </w:rPr>
  </w:style>
  <w:style w:type="character" w:customStyle="1" w:styleId="AbstractbodytextChar">
    <w:name w:val="Abstract body text Char"/>
    <w:basedOn w:val="DefaultParagraphFont"/>
    <w:link w:val="Abstractbodytext"/>
    <w:uiPriority w:val="9"/>
    <w:semiHidden/>
    <w:rsid w:val="008F3372"/>
    <w:rPr>
      <w:rFonts w:eastAsia="Times New Roman" w:cs="Arial"/>
      <w:color w:val="595A5B"/>
      <w:sz w:val="20"/>
      <w:szCs w:val="20"/>
      <w:lang w:val="en"/>
    </w:rPr>
  </w:style>
  <w:style w:type="paragraph" w:customStyle="1" w:styleId="CoverNormal">
    <w:name w:val="Cover Normal"/>
    <w:rsid w:val="009F2590"/>
    <w:pPr>
      <w:spacing w:line="240" w:lineRule="auto"/>
    </w:pPr>
    <w:rPr>
      <w:color w:val="595A5B"/>
      <w:sz w:val="20"/>
    </w:rPr>
  </w:style>
  <w:style w:type="paragraph" w:customStyle="1" w:styleId="TitleHeading">
    <w:name w:val="Title Heading"/>
    <w:link w:val="TitleHeadingChar"/>
    <w:qFormat/>
    <w:rsid w:val="00800071"/>
    <w:pPr>
      <w:spacing w:before="600" w:after="600" w:line="240" w:lineRule="auto"/>
      <w:ind w:right="57"/>
    </w:pPr>
    <w:rPr>
      <w:rFonts w:ascii="Arial" w:eastAsia="Times New Roman" w:hAnsi="Arial" w:cs="Times New Roman"/>
      <w:b/>
      <w:color w:val="002060"/>
      <w:sz w:val="52"/>
      <w:szCs w:val="20"/>
    </w:rPr>
  </w:style>
  <w:style w:type="character" w:customStyle="1" w:styleId="TitleHeadingChar">
    <w:name w:val="Title Heading Char"/>
    <w:basedOn w:val="Heading2Char"/>
    <w:link w:val="TitleHeading"/>
    <w:rsid w:val="00800071"/>
    <w:rPr>
      <w:rFonts w:ascii="Arial" w:eastAsia="Times New Roman" w:hAnsi="Arial" w:cs="Times New Roman"/>
      <w:b/>
      <w:iCs w:val="0"/>
      <w:color w:val="002060"/>
      <w:kern w:val="32"/>
      <w:sz w:val="52"/>
      <w:szCs w:val="20"/>
    </w:rPr>
  </w:style>
  <w:style w:type="paragraph" w:customStyle="1" w:styleId="Keypointsbullet">
    <w:name w:val="Key points bullet"/>
    <w:basedOn w:val="BodyText"/>
    <w:link w:val="KeypointsbulletChar"/>
    <w:qFormat/>
    <w:rsid w:val="00251254"/>
    <w:pPr>
      <w:numPr>
        <w:numId w:val="7"/>
      </w:numPr>
      <w:ind w:left="357" w:right="153" w:hanging="357"/>
    </w:pPr>
    <w:rPr>
      <w:rFonts w:eastAsia="Times New Roman" w:cs="Arial"/>
      <w:b/>
      <w:szCs w:val="20"/>
    </w:rPr>
  </w:style>
  <w:style w:type="character" w:customStyle="1" w:styleId="KeypointsbulletChar">
    <w:name w:val="Key points bullet Char"/>
    <w:basedOn w:val="ListParagraphChar"/>
    <w:link w:val="Keypointsbullet"/>
    <w:rsid w:val="00251254"/>
    <w:rPr>
      <w:rFonts w:eastAsia="Times New Roman" w:cs="Arial"/>
      <w:b/>
      <w:color w:val="595A5B"/>
      <w:sz w:val="20"/>
      <w:szCs w:val="20"/>
      <w:lang w:val="en"/>
    </w:rPr>
  </w:style>
  <w:style w:type="paragraph" w:styleId="Header">
    <w:name w:val="header"/>
    <w:basedOn w:val="Normal"/>
    <w:link w:val="HeaderChar"/>
    <w:uiPriority w:val="99"/>
    <w:unhideWhenUsed/>
    <w:rsid w:val="00E35ECE"/>
    <w:pPr>
      <w:spacing w:after="0" w:line="240" w:lineRule="auto"/>
      <w:ind w:left="0"/>
    </w:pPr>
  </w:style>
  <w:style w:type="character" w:customStyle="1" w:styleId="HeaderChar">
    <w:name w:val="Header Char"/>
    <w:basedOn w:val="DefaultParagraphFont"/>
    <w:link w:val="Header"/>
    <w:uiPriority w:val="99"/>
    <w:rsid w:val="00E35ECE"/>
    <w:rPr>
      <w:rFonts w:ascii="Arial" w:hAnsi="Arial"/>
      <w:color w:val="595A5B"/>
      <w:sz w:val="20"/>
    </w:rPr>
  </w:style>
  <w:style w:type="paragraph" w:customStyle="1" w:styleId="CoverAbstract">
    <w:name w:val="Cover Abstract"/>
    <w:basedOn w:val="Normal"/>
    <w:uiPriority w:val="10"/>
    <w:rsid w:val="009F2590"/>
    <w:pPr>
      <w:spacing w:line="270" w:lineRule="exact"/>
    </w:pPr>
    <w:rPr>
      <w:lang w:val="en"/>
    </w:rPr>
  </w:style>
  <w:style w:type="paragraph" w:customStyle="1" w:styleId="ReportCoverContact">
    <w:name w:val="Report Cover Contact"/>
    <w:basedOn w:val="Normal"/>
    <w:rsid w:val="009F2590"/>
    <w:pPr>
      <w:spacing w:after="60" w:line="270" w:lineRule="exact"/>
      <w:ind w:left="0"/>
      <w:jc w:val="left"/>
    </w:pPr>
    <w:rPr>
      <w:rFonts w:eastAsia="Calibri" w:cs="Arial"/>
      <w:sz w:val="16"/>
      <w:szCs w:val="18"/>
      <w:lang w:val="en"/>
    </w:rPr>
  </w:style>
  <w:style w:type="paragraph" w:customStyle="1" w:styleId="ReportCoverInformation">
    <w:name w:val="Report Cover Information"/>
    <w:basedOn w:val="Normal"/>
    <w:rsid w:val="009F2590"/>
    <w:pPr>
      <w:keepNext/>
      <w:pBdr>
        <w:top w:val="single" w:sz="4" w:space="1" w:color="595A5B"/>
      </w:pBdr>
      <w:spacing w:before="600" w:after="120" w:line="240" w:lineRule="atLeast"/>
      <w:ind w:left="0" w:right="57"/>
      <w:outlineLvl w:val="7"/>
    </w:pPr>
    <w:rPr>
      <w:rFonts w:eastAsia="Times New Roman" w:cs="Times New Roman"/>
      <w:color w:val="22789A"/>
      <w:sz w:val="16"/>
      <w:szCs w:val="20"/>
      <w:lang w:val="en"/>
    </w:rPr>
  </w:style>
  <w:style w:type="paragraph" w:styleId="TOC2">
    <w:name w:val="toc 2"/>
    <w:basedOn w:val="Normal"/>
    <w:next w:val="Normal"/>
    <w:autoRedefine/>
    <w:uiPriority w:val="39"/>
    <w:rsid w:val="00243AF9"/>
    <w:pPr>
      <w:tabs>
        <w:tab w:val="left" w:pos="1560"/>
        <w:tab w:val="right" w:pos="8931"/>
      </w:tabs>
      <w:spacing w:after="100"/>
      <w:ind w:left="1429" w:right="804" w:hanging="709"/>
    </w:pPr>
    <w:rPr>
      <w:noProof/>
    </w:rPr>
  </w:style>
  <w:style w:type="paragraph" w:styleId="TOC3">
    <w:name w:val="toc 3"/>
    <w:basedOn w:val="Normal"/>
    <w:next w:val="Normal"/>
    <w:autoRedefine/>
    <w:uiPriority w:val="39"/>
    <w:rsid w:val="009F2590"/>
    <w:pPr>
      <w:tabs>
        <w:tab w:val="right" w:pos="8931"/>
      </w:tabs>
      <w:spacing w:after="100"/>
      <w:ind w:left="1843" w:right="804"/>
    </w:pPr>
    <w:rPr>
      <w:noProof/>
    </w:rPr>
  </w:style>
  <w:style w:type="paragraph" w:styleId="TOC6">
    <w:name w:val="toc 6"/>
    <w:basedOn w:val="Normal"/>
    <w:next w:val="Normal"/>
    <w:autoRedefine/>
    <w:uiPriority w:val="39"/>
    <w:rsid w:val="009F2590"/>
    <w:pPr>
      <w:tabs>
        <w:tab w:val="right" w:pos="8931"/>
      </w:tabs>
      <w:spacing w:after="100"/>
      <w:ind w:left="2127" w:right="804" w:hanging="1418"/>
    </w:pPr>
    <w:rPr>
      <w:b/>
    </w:rPr>
  </w:style>
  <w:style w:type="paragraph" w:customStyle="1" w:styleId="Contents">
    <w:name w:val="Contents"/>
    <w:basedOn w:val="CoverNormal"/>
    <w:rsid w:val="009F2590"/>
    <w:pPr>
      <w:pageBreakBefore/>
      <w:ind w:left="567"/>
    </w:pPr>
    <w:rPr>
      <w:rFonts w:asciiTheme="majorHAnsi" w:hAnsiTheme="majorHAnsi" w:cstheme="majorHAnsi"/>
      <w:b/>
      <w:color w:val="22789A"/>
      <w:sz w:val="52"/>
      <w:szCs w:val="52"/>
    </w:rPr>
  </w:style>
  <w:style w:type="paragraph" w:customStyle="1" w:styleId="CreativeCommonsLicence">
    <w:name w:val="Creative Commons Licence"/>
    <w:basedOn w:val="DisclaimerHeading"/>
    <w:next w:val="DisclaimerandAcknowledgement"/>
    <w:uiPriority w:val="19"/>
    <w:rsid w:val="009F2590"/>
    <w:pPr>
      <w:keepNext/>
      <w:outlineLvl w:val="7"/>
    </w:pPr>
  </w:style>
  <w:style w:type="paragraph" w:customStyle="1" w:styleId="Keypointsheader">
    <w:name w:val="Key points header"/>
    <w:basedOn w:val="BodyText"/>
    <w:link w:val="KeypointsheaderChar"/>
    <w:qFormat/>
    <w:rsid w:val="009F2590"/>
    <w:pPr>
      <w:keepNext/>
      <w:pageBreakBefore/>
      <w:spacing w:before="300" w:line="280" w:lineRule="atLeast"/>
      <w:ind w:left="34" w:right="57"/>
      <w:jc w:val="left"/>
    </w:pPr>
    <w:rPr>
      <w:rFonts w:eastAsia="Times New Roman" w:cs="Times New Roman"/>
      <w:b/>
      <w:color w:val="22789A"/>
      <w:sz w:val="32"/>
      <w:szCs w:val="20"/>
    </w:rPr>
  </w:style>
  <w:style w:type="character" w:customStyle="1" w:styleId="KeypointsheaderChar">
    <w:name w:val="Key points header Char"/>
    <w:basedOn w:val="DefaultParagraphFont"/>
    <w:link w:val="Keypointsheader"/>
    <w:rsid w:val="001A3451"/>
    <w:rPr>
      <w:rFonts w:eastAsia="Times New Roman" w:cs="Times New Roman"/>
      <w:b/>
      <w:color w:val="22789A"/>
      <w:sz w:val="32"/>
      <w:szCs w:val="20"/>
    </w:rPr>
  </w:style>
  <w:style w:type="paragraph" w:customStyle="1" w:styleId="AbstractText">
    <w:name w:val="Abstract Text"/>
    <w:basedOn w:val="CoverNormal"/>
    <w:uiPriority w:val="9"/>
    <w:rsid w:val="009F2590"/>
    <w:pPr>
      <w:spacing w:before="60" w:after="60" w:line="260" w:lineRule="exact"/>
    </w:pPr>
  </w:style>
  <w:style w:type="paragraph" w:customStyle="1" w:styleId="JELCodeheader">
    <w:name w:val="JEL Code header"/>
    <w:link w:val="JELCodeheaderChar"/>
    <w:uiPriority w:val="5"/>
    <w:qFormat/>
    <w:rsid w:val="009F2590"/>
    <w:pPr>
      <w:spacing w:after="0" w:line="270" w:lineRule="exact"/>
      <w:jc w:val="both"/>
    </w:pPr>
    <w:rPr>
      <w:rFonts w:ascii="Arial" w:eastAsia="Times New Roman" w:hAnsi="Arial" w:cs="Arial"/>
      <w:b/>
      <w:color w:val="22789A"/>
      <w:sz w:val="20"/>
      <w:szCs w:val="20"/>
      <w:lang w:val="en"/>
    </w:rPr>
  </w:style>
  <w:style w:type="character" w:customStyle="1" w:styleId="JELCodeheaderChar">
    <w:name w:val="JEL Code header Char"/>
    <w:basedOn w:val="DefaultParagraphFont"/>
    <w:link w:val="JELCodeheader"/>
    <w:uiPriority w:val="5"/>
    <w:rsid w:val="009F2590"/>
    <w:rPr>
      <w:rFonts w:ascii="Arial" w:eastAsia="Times New Roman" w:hAnsi="Arial" w:cs="Arial"/>
      <w:b/>
      <w:color w:val="22789A"/>
      <w:sz w:val="20"/>
      <w:szCs w:val="20"/>
      <w:lang w:val="en"/>
    </w:rPr>
  </w:style>
  <w:style w:type="paragraph" w:customStyle="1" w:styleId="DisclaimerandAcknowledgement">
    <w:name w:val="Disclaimer and Acknowledgement"/>
    <w:basedOn w:val="Normal"/>
    <w:link w:val="DisclaimerandAcknowledgementChar"/>
    <w:qFormat/>
    <w:rsid w:val="009F2590"/>
    <w:pPr>
      <w:spacing w:after="140" w:line="270" w:lineRule="exact"/>
      <w:jc w:val="left"/>
    </w:pPr>
    <w:rPr>
      <w:rFonts w:eastAsia="Calibri" w:cs="Arial"/>
      <w:sz w:val="16"/>
      <w:szCs w:val="18"/>
      <w:lang w:val="en"/>
    </w:rPr>
  </w:style>
  <w:style w:type="character" w:customStyle="1" w:styleId="DisclaimerandAcknowledgementChar">
    <w:name w:val="Disclaimer and Acknowledgement Char"/>
    <w:link w:val="DisclaimerandAcknowledgement"/>
    <w:rsid w:val="009F2590"/>
    <w:rPr>
      <w:rFonts w:ascii="Arial" w:eastAsia="Calibri" w:hAnsi="Arial" w:cs="Arial"/>
      <w:color w:val="595A5B"/>
      <w:sz w:val="16"/>
      <w:szCs w:val="18"/>
      <w:lang w:val="en"/>
    </w:rPr>
  </w:style>
  <w:style w:type="paragraph" w:customStyle="1" w:styleId="HyperlinkStyle">
    <w:name w:val="Hyperlink Style"/>
    <w:basedOn w:val="Normal"/>
    <w:link w:val="HyperlinkStyleChar"/>
    <w:qFormat/>
    <w:rsid w:val="009F2590"/>
    <w:pPr>
      <w:spacing w:line="270" w:lineRule="exact"/>
    </w:pPr>
    <w:rPr>
      <w:rFonts w:eastAsia="Calibri" w:cs="Times New Roman"/>
      <w:color w:val="22789A"/>
      <w:szCs w:val="20"/>
      <w:u w:val="single"/>
    </w:rPr>
  </w:style>
  <w:style w:type="character" w:customStyle="1" w:styleId="HyperlinkStyleChar">
    <w:name w:val="Hyperlink Style Char"/>
    <w:link w:val="HyperlinkStyle"/>
    <w:rsid w:val="009F2590"/>
    <w:rPr>
      <w:rFonts w:ascii="Arial" w:eastAsia="Calibri" w:hAnsi="Arial" w:cs="Times New Roman"/>
      <w:color w:val="22789A"/>
      <w:sz w:val="20"/>
      <w:szCs w:val="20"/>
      <w:u w:val="single"/>
    </w:rPr>
  </w:style>
  <w:style w:type="paragraph" w:customStyle="1" w:styleId="DisclaimerHeading">
    <w:name w:val="Disclaimer Heading"/>
    <w:next w:val="DisclaimerandAcknowledgement"/>
    <w:link w:val="DisclaimerHeadingChar"/>
    <w:uiPriority w:val="19"/>
    <w:qFormat/>
    <w:rsid w:val="00603F30"/>
    <w:pPr>
      <w:pBdr>
        <w:top w:val="single" w:sz="4" w:space="1" w:color="595A5B"/>
      </w:pBdr>
      <w:spacing w:before="360" w:after="120" w:line="240" w:lineRule="atLeast"/>
      <w:ind w:left="2160" w:right="57"/>
    </w:pPr>
    <w:rPr>
      <w:rFonts w:ascii="Arial" w:eastAsia="Times New Roman" w:hAnsi="Arial" w:cs="Times New Roman"/>
      <w:color w:val="22789A"/>
      <w:sz w:val="16"/>
      <w:szCs w:val="20"/>
      <w:lang w:val="en"/>
    </w:rPr>
  </w:style>
  <w:style w:type="character" w:customStyle="1" w:styleId="DisclaimerHeadingChar">
    <w:name w:val="Disclaimer Heading Char"/>
    <w:basedOn w:val="DefaultParagraphFont"/>
    <w:link w:val="DisclaimerHeading"/>
    <w:uiPriority w:val="19"/>
    <w:rsid w:val="00603F30"/>
    <w:rPr>
      <w:rFonts w:ascii="Arial" w:eastAsia="Times New Roman" w:hAnsi="Arial" w:cs="Times New Roman"/>
      <w:color w:val="22789A"/>
      <w:sz w:val="16"/>
      <w:szCs w:val="20"/>
      <w:lang w:val="en"/>
    </w:rPr>
  </w:style>
  <w:style w:type="paragraph" w:styleId="Quote">
    <w:name w:val="Quote"/>
    <w:basedOn w:val="Normal"/>
    <w:next w:val="Normal"/>
    <w:link w:val="QuoteChar"/>
    <w:uiPriority w:val="29"/>
    <w:rsid w:val="00CF52CC"/>
    <w:pPr>
      <w:ind w:left="284" w:right="522"/>
    </w:pPr>
    <w:rPr>
      <w:rFonts w:asciiTheme="minorHAnsi" w:hAnsiTheme="minorHAnsi"/>
      <w:iCs/>
      <w:color w:val="595A5B" w:themeColor="text1"/>
      <w:sz w:val="18"/>
    </w:rPr>
  </w:style>
  <w:style w:type="character" w:customStyle="1" w:styleId="QuoteChar">
    <w:name w:val="Quote Char"/>
    <w:basedOn w:val="DefaultParagraphFont"/>
    <w:link w:val="Quote"/>
    <w:uiPriority w:val="29"/>
    <w:rsid w:val="00CF52CC"/>
    <w:rPr>
      <w:iCs/>
      <w:color w:val="595A5B" w:themeColor="text1"/>
      <w:sz w:val="18"/>
    </w:rPr>
  </w:style>
  <w:style w:type="paragraph" w:customStyle="1" w:styleId="TableListBullet">
    <w:name w:val="Table List Bullet"/>
    <w:basedOn w:val="Tabletext"/>
    <w:rsid w:val="009F2590"/>
    <w:pPr>
      <w:numPr>
        <w:numId w:val="8"/>
      </w:numPr>
    </w:pPr>
    <w:rPr>
      <w:rFonts w:eastAsia="Times New Roman"/>
      <w:lang w:eastAsia="en-AU"/>
    </w:rPr>
  </w:style>
  <w:style w:type="numbering" w:customStyle="1" w:styleId="OCETableBullets">
    <w:name w:val="OCE Table Bullets"/>
    <w:uiPriority w:val="99"/>
    <w:rsid w:val="009F2590"/>
    <w:pPr>
      <w:numPr>
        <w:numId w:val="8"/>
      </w:numPr>
    </w:pPr>
  </w:style>
  <w:style w:type="paragraph" w:customStyle="1" w:styleId="Logo">
    <w:name w:val="Logo"/>
    <w:basedOn w:val="Normal"/>
    <w:next w:val="DisclaimerHeading"/>
    <w:rsid w:val="009F2590"/>
    <w:pPr>
      <w:spacing w:before="600"/>
    </w:pPr>
    <w:rPr>
      <w:noProof/>
      <w:lang w:eastAsia="en-AU"/>
    </w:rPr>
  </w:style>
  <w:style w:type="paragraph" w:customStyle="1" w:styleId="SideQuote">
    <w:name w:val="Side Quote"/>
    <w:basedOn w:val="Normal"/>
    <w:next w:val="SideQuoteSource"/>
    <w:link w:val="SideQuoteChar"/>
    <w:rsid w:val="00E52C9F"/>
    <w:pPr>
      <w:keepNext/>
      <w:framePr w:w="1701" w:hSpace="113" w:vSpace="113" w:wrap="around" w:vAnchor="text" w:hAnchor="margin" w:x="-1984" w:y="1"/>
      <w:pBdr>
        <w:top w:val="single" w:sz="12" w:space="3" w:color="22789A"/>
        <w:bottom w:val="single" w:sz="12" w:space="3" w:color="22789A"/>
      </w:pBdr>
      <w:spacing w:before="60" w:after="40" w:line="220" w:lineRule="exact"/>
      <w:ind w:left="0"/>
      <w:jc w:val="left"/>
    </w:pPr>
    <w:rPr>
      <w:rFonts w:asciiTheme="majorHAnsi" w:eastAsia="Times New Roman" w:hAnsiTheme="majorHAnsi" w:cs="Times New Roman"/>
      <w:color w:val="808080" w:themeColor="background1" w:themeShade="80"/>
      <w:sz w:val="16"/>
      <w:lang w:eastAsia="en-AU"/>
    </w:rPr>
  </w:style>
  <w:style w:type="character" w:customStyle="1" w:styleId="SideQuoteChar">
    <w:name w:val="Side Quote Char"/>
    <w:basedOn w:val="DefaultParagraphFont"/>
    <w:link w:val="SideQuote"/>
    <w:rsid w:val="00E52C9F"/>
    <w:rPr>
      <w:rFonts w:asciiTheme="majorHAnsi" w:eastAsia="Times New Roman" w:hAnsiTheme="majorHAnsi" w:cs="Times New Roman"/>
      <w:color w:val="808080" w:themeColor="background1" w:themeShade="80"/>
      <w:sz w:val="16"/>
      <w:lang w:eastAsia="en-AU"/>
    </w:rPr>
  </w:style>
  <w:style w:type="paragraph" w:customStyle="1" w:styleId="SideQuoteSource">
    <w:name w:val="Side Quote Source"/>
    <w:basedOn w:val="SideQuote"/>
    <w:next w:val="BodyText"/>
    <w:rsid w:val="00E52C9F"/>
    <w:pPr>
      <w:framePr w:wrap="around"/>
      <w:jc w:val="right"/>
    </w:pPr>
    <w:rPr>
      <w:i/>
    </w:rPr>
  </w:style>
  <w:style w:type="paragraph" w:customStyle="1" w:styleId="LetterBody">
    <w:name w:val="Letter Body"/>
    <w:qFormat/>
    <w:rsid w:val="009F2590"/>
    <w:rPr>
      <w:rFonts w:ascii="Arial" w:eastAsia="Times New Roman" w:hAnsi="Arial" w:cs="Times New Roman"/>
      <w:sz w:val="20"/>
      <w:szCs w:val="20"/>
      <w:lang w:eastAsia="en-AU"/>
    </w:rPr>
  </w:style>
  <w:style w:type="paragraph" w:customStyle="1" w:styleId="LetterAddress">
    <w:name w:val="Letter Address"/>
    <w:basedOn w:val="LetterNormal"/>
    <w:qFormat/>
    <w:rsid w:val="009F2590"/>
    <w:pPr>
      <w:spacing w:after="80"/>
      <w:ind w:left="1701"/>
    </w:pPr>
    <w:rPr>
      <w:sz w:val="16"/>
      <w:szCs w:val="16"/>
    </w:rPr>
  </w:style>
  <w:style w:type="paragraph" w:customStyle="1" w:styleId="Addressee">
    <w:name w:val="Addressee"/>
    <w:qFormat/>
    <w:rsid w:val="009F2590"/>
    <w:pPr>
      <w:spacing w:after="0"/>
    </w:pPr>
    <w:rPr>
      <w:rFonts w:ascii="Arial" w:eastAsia="Times New Roman" w:hAnsi="Arial" w:cs="Times New Roman"/>
      <w:sz w:val="20"/>
      <w:szCs w:val="20"/>
      <w:lang w:eastAsia="en-AU"/>
    </w:rPr>
  </w:style>
  <w:style w:type="paragraph" w:customStyle="1" w:styleId="LetterAddressee">
    <w:name w:val="Letter Addressee"/>
    <w:basedOn w:val="LetterNormal"/>
    <w:qFormat/>
    <w:rsid w:val="009F2590"/>
  </w:style>
  <w:style w:type="paragraph" w:customStyle="1" w:styleId="LetterSalutation">
    <w:name w:val="Letter Salutation"/>
    <w:basedOn w:val="LetterBody"/>
    <w:qFormat/>
    <w:rsid w:val="009F2590"/>
  </w:style>
  <w:style w:type="paragraph" w:customStyle="1" w:styleId="LetterSignature">
    <w:name w:val="Letter Signature"/>
    <w:basedOn w:val="LetterNormal"/>
    <w:qFormat/>
    <w:rsid w:val="009F2590"/>
    <w:pPr>
      <w:tabs>
        <w:tab w:val="left" w:pos="6200"/>
      </w:tabs>
    </w:pPr>
  </w:style>
  <w:style w:type="paragraph" w:customStyle="1" w:styleId="LetterNormal">
    <w:name w:val="Letter Normal"/>
    <w:basedOn w:val="Normal"/>
    <w:qFormat/>
    <w:rsid w:val="009F2590"/>
    <w:pPr>
      <w:suppressAutoHyphens/>
      <w:spacing w:after="0" w:line="240" w:lineRule="auto"/>
      <w:ind w:left="0"/>
      <w:jc w:val="left"/>
    </w:pPr>
    <w:rPr>
      <w:rFonts w:eastAsia="Times New Roman" w:cs="Times New Roman"/>
      <w:color w:val="auto"/>
      <w:szCs w:val="20"/>
      <w:lang w:eastAsia="en-AU"/>
    </w:rPr>
  </w:style>
  <w:style w:type="paragraph" w:customStyle="1" w:styleId="LetterAddressBlock">
    <w:name w:val="Letter Address Block"/>
    <w:basedOn w:val="LetterNormal"/>
    <w:qFormat/>
    <w:rsid w:val="009F2590"/>
    <w:pPr>
      <w:spacing w:after="80"/>
      <w:ind w:left="1701"/>
    </w:pPr>
    <w:rPr>
      <w:sz w:val="16"/>
      <w:szCs w:val="16"/>
    </w:rPr>
  </w:style>
  <w:style w:type="paragraph" w:customStyle="1" w:styleId="AgendaBodyText">
    <w:name w:val="Agenda Body Text"/>
    <w:qFormat/>
    <w:rsid w:val="009F2590"/>
    <w:pPr>
      <w:spacing w:before="120" w:after="0" w:line="240" w:lineRule="auto"/>
    </w:pPr>
    <w:rPr>
      <w:rFonts w:ascii="Arial" w:hAnsi="Arial"/>
      <w:color w:val="595A5B"/>
      <w:sz w:val="18"/>
      <w:lang w:eastAsia="en-AU"/>
    </w:rPr>
  </w:style>
  <w:style w:type="paragraph" w:customStyle="1" w:styleId="AgendaTableColHeading">
    <w:name w:val="Agenda Table Co lHeading"/>
    <w:next w:val="AgendaBodyText"/>
    <w:qFormat/>
    <w:rsid w:val="00350C19"/>
    <w:pPr>
      <w:spacing w:before="200" w:after="0" w:line="240" w:lineRule="auto"/>
    </w:pPr>
    <w:rPr>
      <w:rFonts w:ascii="Arial" w:hAnsi="Arial"/>
      <w:b/>
      <w:color w:val="22789A"/>
    </w:rPr>
  </w:style>
  <w:style w:type="paragraph" w:customStyle="1" w:styleId="AgendaTableSubHeading">
    <w:name w:val="Agenda Table Sub Heading"/>
    <w:qFormat/>
    <w:rsid w:val="009F2590"/>
    <w:pPr>
      <w:spacing w:after="120" w:line="240" w:lineRule="auto"/>
    </w:pPr>
    <w:rPr>
      <w:rFonts w:ascii="Arial" w:hAnsi="Arial"/>
      <w:b/>
      <w:color w:val="595A5B"/>
      <w:sz w:val="18"/>
      <w:lang w:eastAsia="en-AU"/>
    </w:rPr>
  </w:style>
  <w:style w:type="paragraph" w:customStyle="1" w:styleId="AgendaTableColHeading0">
    <w:name w:val="Agenda Table Col Heading"/>
    <w:next w:val="AgendaBodyText"/>
    <w:qFormat/>
    <w:rsid w:val="009F2590"/>
    <w:pPr>
      <w:spacing w:before="200" w:after="0" w:line="240" w:lineRule="auto"/>
    </w:pPr>
    <w:rPr>
      <w:rFonts w:ascii="Arial" w:eastAsia="Times New Roman" w:hAnsi="Arial"/>
      <w:b/>
      <w:color w:val="22789A"/>
      <w:lang w:eastAsia="en-AU"/>
    </w:rPr>
  </w:style>
  <w:style w:type="paragraph" w:customStyle="1" w:styleId="address">
    <w:name w:val="address"/>
    <w:basedOn w:val="Normal"/>
    <w:rsid w:val="009F2590"/>
    <w:pPr>
      <w:suppressAutoHyphens/>
      <w:spacing w:after="240" w:line="240" w:lineRule="auto"/>
      <w:ind w:left="0"/>
      <w:jc w:val="right"/>
    </w:pPr>
    <w:rPr>
      <w:rFonts w:eastAsia="Times New Roman" w:cs="Times New Roman"/>
      <w:color w:val="auto"/>
      <w:szCs w:val="20"/>
      <w:lang w:val="en-GB" w:eastAsia="en-AU"/>
    </w:rPr>
  </w:style>
  <w:style w:type="paragraph" w:styleId="ListNumber4">
    <w:name w:val="List Number 4"/>
    <w:basedOn w:val="Normal"/>
    <w:uiPriority w:val="99"/>
    <w:rsid w:val="00070749"/>
    <w:pPr>
      <w:numPr>
        <w:ilvl w:val="3"/>
        <w:numId w:val="10"/>
      </w:numPr>
      <w:contextualSpacing/>
    </w:pPr>
  </w:style>
  <w:style w:type="table" w:customStyle="1" w:styleId="DBPTable">
    <w:name w:val="DBP Table"/>
    <w:basedOn w:val="TableContemporary"/>
    <w:uiPriority w:val="99"/>
    <w:rsid w:val="001F4600"/>
    <w:tblPr/>
    <w:tblStylePr w:type="firstRow">
      <w:rPr>
        <w:rFonts w:ascii="Arial" w:hAnsi="Arial"/>
        <w:b/>
        <w:bCs/>
        <w:color w:val="auto"/>
        <w:sz w:val="20"/>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Header2">
    <w:name w:val="••Header 2"/>
    <w:basedOn w:val="Normal"/>
    <w:uiPriority w:val="99"/>
    <w:rsid w:val="001F4600"/>
    <w:pPr>
      <w:widowControl w:val="0"/>
      <w:suppressAutoHyphens/>
      <w:autoSpaceDE w:val="0"/>
      <w:autoSpaceDN w:val="0"/>
      <w:adjustRightInd w:val="0"/>
      <w:spacing w:before="113" w:after="0" w:line="360" w:lineRule="atLeast"/>
      <w:ind w:left="0"/>
      <w:jc w:val="left"/>
      <w:textAlignment w:val="center"/>
    </w:pPr>
    <w:rPr>
      <w:rFonts w:ascii="GillSans" w:eastAsiaTheme="minorEastAsia" w:hAnsi="GillSans" w:cs="GillSans"/>
      <w:color w:val="45545F"/>
      <w:sz w:val="32"/>
      <w:szCs w:val="32"/>
      <w:lang w:val="en-GB"/>
    </w:rPr>
  </w:style>
  <w:style w:type="paragraph" w:customStyle="1" w:styleId="REQbody">
    <w:name w:val="REQ body"/>
    <w:basedOn w:val="Normal"/>
    <w:link w:val="REQbodyCharChar"/>
    <w:autoRedefine/>
    <w:rsid w:val="001F4600"/>
    <w:pPr>
      <w:spacing w:after="240" w:line="240" w:lineRule="auto"/>
      <w:ind w:left="0"/>
      <w:jc w:val="left"/>
    </w:pPr>
    <w:rPr>
      <w:rFonts w:ascii="Calibri" w:eastAsia="MS Mincho" w:hAnsi="Calibri" w:cs="Times New Roman"/>
      <w:color w:val="auto"/>
      <w:sz w:val="24"/>
      <w:szCs w:val="24"/>
      <w:lang w:eastAsia="ja-JP"/>
    </w:rPr>
  </w:style>
  <w:style w:type="character" w:customStyle="1" w:styleId="REQbodyCharChar">
    <w:name w:val="REQ body Char Char"/>
    <w:link w:val="REQbody"/>
    <w:rsid w:val="001F4600"/>
    <w:rPr>
      <w:rFonts w:ascii="Calibri" w:eastAsia="MS Mincho" w:hAnsi="Calibri" w:cs="Times New Roman"/>
      <w:sz w:val="24"/>
      <w:szCs w:val="24"/>
      <w:lang w:eastAsia="ja-JP"/>
    </w:rPr>
  </w:style>
  <w:style w:type="paragraph" w:customStyle="1" w:styleId="Header1">
    <w:name w:val="••Header 1"/>
    <w:basedOn w:val="Normal"/>
    <w:uiPriority w:val="99"/>
    <w:rsid w:val="001F4600"/>
    <w:pPr>
      <w:widowControl w:val="0"/>
      <w:suppressAutoHyphens/>
      <w:autoSpaceDE w:val="0"/>
      <w:autoSpaceDN w:val="0"/>
      <w:adjustRightInd w:val="0"/>
      <w:spacing w:before="170" w:after="170" w:line="560" w:lineRule="atLeast"/>
      <w:ind w:left="0"/>
      <w:jc w:val="left"/>
      <w:textAlignment w:val="center"/>
    </w:pPr>
    <w:rPr>
      <w:rFonts w:ascii="GillSans" w:eastAsiaTheme="minorEastAsia" w:hAnsi="GillSans" w:cs="GillSans"/>
      <w:color w:val="000000"/>
      <w:spacing w:val="6"/>
      <w:sz w:val="56"/>
      <w:szCs w:val="56"/>
      <w:lang w:val="en-GB"/>
    </w:rPr>
  </w:style>
  <w:style w:type="paragraph" w:customStyle="1" w:styleId="CopyrightText">
    <w:name w:val="••Copyright Text"/>
    <w:basedOn w:val="Normal"/>
    <w:rsid w:val="001F4600"/>
    <w:pPr>
      <w:widowControl w:val="0"/>
      <w:suppressAutoHyphens/>
      <w:autoSpaceDE w:val="0"/>
      <w:autoSpaceDN w:val="0"/>
      <w:adjustRightInd w:val="0"/>
      <w:spacing w:after="113" w:line="180" w:lineRule="atLeast"/>
      <w:ind w:left="0"/>
      <w:jc w:val="left"/>
      <w:textAlignment w:val="center"/>
    </w:pPr>
    <w:rPr>
      <w:rFonts w:ascii="MyriadPro-Light" w:eastAsia="MS ??" w:hAnsi="MyriadPro-Light" w:cs="MyriadPro-Light"/>
      <w:color w:val="000000"/>
      <w:spacing w:val="2"/>
      <w:sz w:val="15"/>
      <w:szCs w:val="15"/>
      <w:lang w:val="en-GB" w:eastAsia="ja-JP"/>
    </w:rPr>
  </w:style>
  <w:style w:type="character" w:customStyle="1" w:styleId="BodyItalic">
    <w:name w:val="••Body Italic"/>
    <w:rsid w:val="001F4600"/>
    <w:rPr>
      <w:i/>
    </w:rPr>
  </w:style>
  <w:style w:type="paragraph" w:customStyle="1" w:styleId="BodyText1012">
    <w:name w:val="••Body Text 10/12"/>
    <w:basedOn w:val="Normal"/>
    <w:rsid w:val="001F4600"/>
    <w:pPr>
      <w:widowControl w:val="0"/>
      <w:suppressAutoHyphens/>
      <w:autoSpaceDE w:val="0"/>
      <w:autoSpaceDN w:val="0"/>
      <w:adjustRightInd w:val="0"/>
      <w:spacing w:before="113" w:after="113" w:line="240" w:lineRule="atLeast"/>
      <w:ind w:left="0"/>
      <w:jc w:val="left"/>
      <w:textAlignment w:val="center"/>
    </w:pPr>
    <w:rPr>
      <w:rFonts w:ascii="MyriadPro-Light" w:eastAsia="MS ??" w:hAnsi="MyriadPro-Light" w:cs="MyriadPro-Light"/>
      <w:color w:val="000000"/>
      <w:spacing w:val="2"/>
      <w:szCs w:val="20"/>
      <w:lang w:val="en-GB" w:eastAsia="ja-JP"/>
    </w:rPr>
  </w:style>
  <w:style w:type="character" w:customStyle="1" w:styleId="BodyBold">
    <w:name w:val="••Body Bold"/>
    <w:uiPriority w:val="99"/>
    <w:rsid w:val="001F4600"/>
  </w:style>
  <w:style w:type="paragraph" w:customStyle="1" w:styleId="Header20">
    <w:name w:val="Header 2"/>
    <w:basedOn w:val="Normal"/>
    <w:rsid w:val="001F4600"/>
    <w:pPr>
      <w:widowControl w:val="0"/>
      <w:suppressAutoHyphens/>
      <w:autoSpaceDE w:val="0"/>
      <w:autoSpaceDN w:val="0"/>
      <w:adjustRightInd w:val="0"/>
      <w:spacing w:before="113" w:after="0" w:line="360" w:lineRule="atLeast"/>
      <w:ind w:left="0"/>
      <w:jc w:val="left"/>
      <w:textAlignment w:val="center"/>
    </w:pPr>
    <w:rPr>
      <w:rFonts w:ascii="GillSans" w:eastAsia="MS ??" w:hAnsi="GillSans" w:cs="GillSans"/>
      <w:color w:val="36434D"/>
      <w:sz w:val="32"/>
      <w:szCs w:val="32"/>
      <w:lang w:val="en-GB" w:eastAsia="ja-JP"/>
    </w:rPr>
  </w:style>
  <w:style w:type="paragraph" w:customStyle="1" w:styleId="SourceText">
    <w:name w:val="••Source Text"/>
    <w:basedOn w:val="Normal"/>
    <w:rsid w:val="001F4600"/>
    <w:pPr>
      <w:widowControl w:val="0"/>
      <w:suppressAutoHyphens/>
      <w:autoSpaceDE w:val="0"/>
      <w:autoSpaceDN w:val="0"/>
      <w:adjustRightInd w:val="0"/>
      <w:spacing w:after="113" w:line="200" w:lineRule="atLeast"/>
      <w:ind w:left="0"/>
      <w:jc w:val="left"/>
      <w:textAlignment w:val="center"/>
    </w:pPr>
    <w:rPr>
      <w:rFonts w:ascii="MyriadPro-LightIt" w:eastAsia="MS ??" w:hAnsi="MyriadPro-LightIt" w:cs="MyriadPro-LightIt"/>
      <w:i/>
      <w:iCs/>
      <w:color w:val="000000"/>
      <w:sz w:val="16"/>
      <w:szCs w:val="16"/>
      <w:lang w:val="en-GB" w:eastAsia="ja-JP"/>
    </w:rPr>
  </w:style>
  <w:style w:type="paragraph" w:customStyle="1" w:styleId="NoParagraphStyle">
    <w:name w:val="[No Paragraph Style]"/>
    <w:rsid w:val="001F4600"/>
    <w:pPr>
      <w:widowControl w:val="0"/>
      <w:autoSpaceDE w:val="0"/>
      <w:autoSpaceDN w:val="0"/>
      <w:adjustRightInd w:val="0"/>
      <w:spacing w:after="0" w:line="288" w:lineRule="auto"/>
      <w:textAlignment w:val="center"/>
    </w:pPr>
    <w:rPr>
      <w:rFonts w:ascii="MinionPro-Regular" w:eastAsia="MS ??" w:hAnsi="MinionPro-Regular" w:cs="MinionPro-Regular"/>
      <w:color w:val="000000"/>
      <w:sz w:val="24"/>
      <w:szCs w:val="24"/>
      <w:lang w:val="en-GB" w:eastAsia="ja-JP"/>
    </w:rPr>
  </w:style>
  <w:style w:type="paragraph" w:customStyle="1" w:styleId="TabletextTableText">
    <w:name w:val="••Table text (Table Text)"/>
    <w:basedOn w:val="NoParagraphStyle"/>
    <w:rsid w:val="001F4600"/>
    <w:pPr>
      <w:suppressAutoHyphens/>
      <w:spacing w:line="220" w:lineRule="atLeast"/>
    </w:pPr>
    <w:rPr>
      <w:rFonts w:ascii="MyriadPro-Light" w:hAnsi="MyriadPro-Light" w:cs="MyriadPro-Light"/>
      <w:spacing w:val="5"/>
      <w:sz w:val="17"/>
      <w:szCs w:val="17"/>
    </w:rPr>
  </w:style>
  <w:style w:type="paragraph" w:customStyle="1" w:styleId="TableheaderbottomrightTableText">
    <w:name w:val="••Table header bottom right (Table Text)"/>
    <w:basedOn w:val="Normal"/>
    <w:rsid w:val="001F4600"/>
    <w:pPr>
      <w:widowControl w:val="0"/>
      <w:suppressAutoHyphens/>
      <w:autoSpaceDE w:val="0"/>
      <w:autoSpaceDN w:val="0"/>
      <w:adjustRightInd w:val="0"/>
      <w:spacing w:after="0" w:line="288" w:lineRule="auto"/>
      <w:ind w:left="0"/>
      <w:jc w:val="right"/>
      <w:textAlignment w:val="center"/>
    </w:pPr>
    <w:rPr>
      <w:rFonts w:ascii="MyriadPro-Regular" w:eastAsia="MS ??" w:hAnsi="MyriadPro-Regular" w:cs="MyriadPro-Regular"/>
      <w:color w:val="000000"/>
      <w:spacing w:val="5"/>
      <w:sz w:val="17"/>
      <w:szCs w:val="17"/>
      <w:lang w:val="en-GB" w:eastAsia="ja-JP"/>
    </w:rPr>
  </w:style>
  <w:style w:type="paragraph" w:customStyle="1" w:styleId="TableText75ptTableText">
    <w:name w:val="Table Text 7.5pt (Table Text)"/>
    <w:basedOn w:val="TabletextTableText"/>
    <w:rsid w:val="001F4600"/>
    <w:pPr>
      <w:spacing w:line="200" w:lineRule="atLeast"/>
    </w:pPr>
    <w:rPr>
      <w:spacing w:val="0"/>
      <w:sz w:val="15"/>
      <w:szCs w:val="15"/>
    </w:rPr>
  </w:style>
  <w:style w:type="paragraph" w:customStyle="1" w:styleId="Tableheaderbottomright-75ptTableText">
    <w:name w:val="••Table header bottom right - 7.5pt (Table Text)"/>
    <w:basedOn w:val="Normal"/>
    <w:rsid w:val="001F4600"/>
    <w:pPr>
      <w:widowControl w:val="0"/>
      <w:suppressAutoHyphens/>
      <w:autoSpaceDE w:val="0"/>
      <w:autoSpaceDN w:val="0"/>
      <w:adjustRightInd w:val="0"/>
      <w:spacing w:after="0" w:line="288" w:lineRule="auto"/>
      <w:ind w:left="0"/>
      <w:jc w:val="right"/>
      <w:textAlignment w:val="center"/>
    </w:pPr>
    <w:rPr>
      <w:rFonts w:ascii="MyriadPro-Regular" w:eastAsia="MS ??" w:hAnsi="MyriadPro-Regular" w:cs="MyriadPro-Regular"/>
      <w:color w:val="000000"/>
      <w:sz w:val="15"/>
      <w:szCs w:val="15"/>
      <w:lang w:val="en-GB" w:eastAsia="ja-JP"/>
    </w:rPr>
  </w:style>
  <w:style w:type="paragraph" w:customStyle="1" w:styleId="FigureTableSpaceAppendix">
    <w:name w:val="••Figure/Table Space Appendix"/>
    <w:basedOn w:val="Normal"/>
    <w:rsid w:val="001F4600"/>
    <w:pPr>
      <w:widowControl w:val="0"/>
      <w:suppressAutoHyphens/>
      <w:autoSpaceDE w:val="0"/>
      <w:autoSpaceDN w:val="0"/>
      <w:adjustRightInd w:val="0"/>
      <w:spacing w:before="113" w:after="57" w:line="288" w:lineRule="auto"/>
      <w:ind w:left="0"/>
      <w:jc w:val="left"/>
      <w:textAlignment w:val="center"/>
    </w:pPr>
    <w:rPr>
      <w:rFonts w:ascii="MyriadPro-Regular" w:eastAsia="MS ??" w:hAnsi="MyriadPro-Regular" w:cs="MyriadPro-Regular"/>
      <w:color w:val="000000"/>
      <w:spacing w:val="2"/>
      <w:szCs w:val="20"/>
      <w:lang w:val="en-GB" w:eastAsia="ja-JP"/>
    </w:rPr>
  </w:style>
  <w:style w:type="paragraph" w:styleId="NormalWeb">
    <w:name w:val="Normal (Web)"/>
    <w:basedOn w:val="Normal"/>
    <w:uiPriority w:val="99"/>
    <w:unhideWhenUsed/>
    <w:rsid w:val="001F4600"/>
    <w:pPr>
      <w:spacing w:before="100" w:beforeAutospacing="1" w:after="100" w:afterAutospacing="1" w:line="240" w:lineRule="auto"/>
      <w:ind w:left="0"/>
      <w:jc w:val="left"/>
    </w:pPr>
    <w:rPr>
      <w:rFonts w:ascii="Times New Roman" w:eastAsia="Times New Roman" w:hAnsi="Times New Roman" w:cs="Times New Roman"/>
      <w:color w:val="auto"/>
      <w:sz w:val="24"/>
      <w:szCs w:val="24"/>
      <w:lang w:eastAsia="en-AU"/>
    </w:rPr>
  </w:style>
  <w:style w:type="paragraph" w:customStyle="1" w:styleId="Tableheading">
    <w:name w:val="Table heading"/>
    <w:basedOn w:val="Normal"/>
    <w:link w:val="TableheadingChar"/>
    <w:qFormat/>
    <w:rsid w:val="001F4600"/>
    <w:pPr>
      <w:widowControl w:val="0"/>
      <w:suppressAutoHyphens/>
      <w:autoSpaceDE w:val="0"/>
      <w:autoSpaceDN w:val="0"/>
      <w:adjustRightInd w:val="0"/>
      <w:spacing w:before="170" w:after="170" w:line="240" w:lineRule="atLeast"/>
      <w:ind w:left="0"/>
      <w:jc w:val="left"/>
      <w:textAlignment w:val="center"/>
    </w:pPr>
    <w:rPr>
      <w:rFonts w:asciiTheme="minorHAnsi" w:hAnsiTheme="minorHAnsi" w:cs="MyriadPro-Regular"/>
      <w:b/>
      <w:color w:val="000000"/>
      <w:spacing w:val="2"/>
      <w:sz w:val="22"/>
      <w:lang w:val="en-GB"/>
    </w:rPr>
  </w:style>
  <w:style w:type="paragraph" w:customStyle="1" w:styleId="Figureheading">
    <w:name w:val="Figure heading"/>
    <w:basedOn w:val="Normal"/>
    <w:link w:val="FigureheadingChar"/>
    <w:qFormat/>
    <w:rsid w:val="001F4600"/>
    <w:pPr>
      <w:autoSpaceDE w:val="0"/>
      <w:autoSpaceDN w:val="0"/>
      <w:adjustRightInd w:val="0"/>
      <w:spacing w:after="0" w:line="240" w:lineRule="auto"/>
      <w:ind w:left="0"/>
      <w:jc w:val="left"/>
    </w:pPr>
    <w:rPr>
      <w:rFonts w:asciiTheme="minorHAnsi" w:hAnsiTheme="minorHAnsi" w:cs="MyriadPro-Light"/>
      <w:b/>
      <w:color w:val="auto"/>
      <w:sz w:val="22"/>
      <w:lang w:eastAsia="en-AU"/>
    </w:rPr>
  </w:style>
  <w:style w:type="character" w:customStyle="1" w:styleId="TableheadingChar">
    <w:name w:val="Table heading Char"/>
    <w:basedOn w:val="DefaultParagraphFont"/>
    <w:link w:val="Tableheading"/>
    <w:rsid w:val="001F4600"/>
    <w:rPr>
      <w:rFonts w:cs="MyriadPro-Regular"/>
      <w:b/>
      <w:color w:val="000000"/>
      <w:spacing w:val="2"/>
      <w:lang w:val="en-GB"/>
    </w:rPr>
  </w:style>
  <w:style w:type="character" w:customStyle="1" w:styleId="FigureheadingChar">
    <w:name w:val="Figure heading Char"/>
    <w:basedOn w:val="DefaultParagraphFont"/>
    <w:link w:val="Figureheading"/>
    <w:rsid w:val="001F4600"/>
    <w:rPr>
      <w:rFonts w:cs="MyriadPro-Light"/>
      <w:b/>
      <w:lang w:eastAsia="en-AU"/>
    </w:rPr>
  </w:style>
  <w:style w:type="paragraph" w:customStyle="1" w:styleId="boxheading">
    <w:name w:val="box heading"/>
    <w:basedOn w:val="Normal"/>
    <w:link w:val="boxheadingChar"/>
    <w:qFormat/>
    <w:rsid w:val="001F4600"/>
    <w:pPr>
      <w:widowControl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autoSpaceDE w:val="0"/>
      <w:autoSpaceDN w:val="0"/>
      <w:adjustRightInd w:val="0"/>
      <w:spacing w:before="113" w:after="113" w:line="240" w:lineRule="atLeast"/>
      <w:ind w:left="0"/>
      <w:jc w:val="left"/>
      <w:textAlignment w:val="center"/>
    </w:pPr>
    <w:rPr>
      <w:rFonts w:asciiTheme="minorHAnsi" w:hAnsiTheme="minorHAnsi" w:cs="MyriadPro-Light"/>
      <w:b/>
      <w:color w:val="000000"/>
      <w:spacing w:val="2"/>
      <w:sz w:val="22"/>
      <w:lang w:val="en-GB"/>
    </w:rPr>
  </w:style>
  <w:style w:type="character" w:styleId="Emphasis">
    <w:name w:val="Emphasis"/>
    <w:aliases w:val="Italics"/>
    <w:basedOn w:val="DefaultParagraphFont"/>
    <w:uiPriority w:val="20"/>
    <w:qFormat/>
    <w:rsid w:val="001F4600"/>
    <w:rPr>
      <w:i/>
      <w:iCs/>
    </w:rPr>
  </w:style>
  <w:style w:type="character" w:customStyle="1" w:styleId="boxheadingChar">
    <w:name w:val="box heading Char"/>
    <w:basedOn w:val="DefaultParagraphFont"/>
    <w:link w:val="boxheading"/>
    <w:rsid w:val="001F4600"/>
    <w:rPr>
      <w:rFonts w:cs="MyriadPro-Light"/>
      <w:b/>
      <w:color w:val="000000"/>
      <w:spacing w:val="2"/>
      <w:shd w:val="clear" w:color="auto" w:fill="F2F2F2" w:themeFill="background1" w:themeFillShade="F2"/>
      <w:lang w:val="en-GB"/>
    </w:rPr>
  </w:style>
  <w:style w:type="character" w:styleId="CommentReference">
    <w:name w:val="annotation reference"/>
    <w:basedOn w:val="DefaultParagraphFont"/>
    <w:semiHidden/>
    <w:unhideWhenUsed/>
    <w:rsid w:val="001F4600"/>
    <w:rPr>
      <w:sz w:val="16"/>
      <w:szCs w:val="16"/>
    </w:rPr>
  </w:style>
  <w:style w:type="paragraph" w:styleId="CommentText">
    <w:name w:val="annotation text"/>
    <w:basedOn w:val="Normal"/>
    <w:link w:val="CommentTextChar"/>
    <w:semiHidden/>
    <w:unhideWhenUsed/>
    <w:rsid w:val="001F4600"/>
    <w:pPr>
      <w:spacing w:after="160" w:line="240" w:lineRule="auto"/>
      <w:ind w:left="0"/>
      <w:jc w:val="left"/>
    </w:pPr>
    <w:rPr>
      <w:rFonts w:asciiTheme="minorHAnsi" w:hAnsiTheme="minorHAnsi"/>
      <w:color w:val="auto"/>
      <w:szCs w:val="20"/>
    </w:rPr>
  </w:style>
  <w:style w:type="character" w:customStyle="1" w:styleId="CommentTextChar">
    <w:name w:val="Comment Text Char"/>
    <w:basedOn w:val="DefaultParagraphFont"/>
    <w:link w:val="CommentText"/>
    <w:semiHidden/>
    <w:rsid w:val="001F4600"/>
    <w:rPr>
      <w:sz w:val="20"/>
      <w:szCs w:val="20"/>
    </w:rPr>
  </w:style>
  <w:style w:type="paragraph" w:customStyle="1" w:styleId="66606556C97A4696B54FE6A356883CB4">
    <w:name w:val="66606556C97A4696B54FE6A356883CB4"/>
    <w:rsid w:val="001F4600"/>
    <w:rPr>
      <w:rFonts w:eastAsiaTheme="minorEastAsia"/>
      <w:lang w:eastAsia="en-AU"/>
    </w:rPr>
  </w:style>
  <w:style w:type="character" w:styleId="FollowedHyperlink">
    <w:name w:val="FollowedHyperlink"/>
    <w:basedOn w:val="DefaultParagraphFont"/>
    <w:uiPriority w:val="19"/>
    <w:rsid w:val="001F4600"/>
    <w:rPr>
      <w:color w:val="56B4E9" w:themeColor="followedHyperlink"/>
      <w:u w:val="single"/>
    </w:rPr>
  </w:style>
  <w:style w:type="paragraph" w:styleId="NoSpacing">
    <w:name w:val="No Spacing"/>
    <w:uiPriority w:val="1"/>
    <w:qFormat/>
    <w:rsid w:val="001F4600"/>
    <w:pPr>
      <w:spacing w:after="0" w:line="240" w:lineRule="auto"/>
    </w:pPr>
    <w:rPr>
      <w:rFonts w:ascii="Arial" w:hAnsi="Arial"/>
      <w:color w:val="595A5B" w:themeColor="text1"/>
      <w:sz w:val="20"/>
    </w:rPr>
  </w:style>
  <w:style w:type="character" w:styleId="Strong">
    <w:name w:val="Strong"/>
    <w:aliases w:val="Bold"/>
    <w:basedOn w:val="DefaultParagraphFont"/>
    <w:qFormat/>
    <w:rsid w:val="001F4600"/>
    <w:rPr>
      <w:b/>
      <w:bCs/>
    </w:rPr>
  </w:style>
  <w:style w:type="paragraph" w:customStyle="1" w:styleId="Sources">
    <w:name w:val="Sources"/>
    <w:basedOn w:val="Normal"/>
    <w:qFormat/>
    <w:rsid w:val="001F4600"/>
    <w:pPr>
      <w:spacing w:before="120" w:after="0" w:line="240" w:lineRule="auto"/>
      <w:ind w:left="0"/>
      <w:jc w:val="left"/>
    </w:pPr>
    <w:rPr>
      <w:rFonts w:ascii="Calibri" w:eastAsia="MS Mincho" w:hAnsi="Calibri" w:cs="Times New Roman"/>
      <w:color w:val="auto"/>
      <w:sz w:val="16"/>
      <w:szCs w:val="24"/>
      <w:lang w:eastAsia="ja-JP"/>
    </w:rPr>
  </w:style>
  <w:style w:type="paragraph" w:customStyle="1" w:styleId="SourcesLAST">
    <w:name w:val="Sources LAST"/>
    <w:basedOn w:val="Normal"/>
    <w:qFormat/>
    <w:rsid w:val="001F4600"/>
    <w:pPr>
      <w:spacing w:before="120" w:after="240" w:line="240" w:lineRule="auto"/>
      <w:ind w:left="0"/>
      <w:jc w:val="left"/>
    </w:pPr>
    <w:rPr>
      <w:rFonts w:ascii="Calibri" w:eastAsia="MS Mincho" w:hAnsi="Calibri" w:cs="Times New Roman"/>
      <w:color w:val="auto"/>
      <w:sz w:val="16"/>
      <w:szCs w:val="24"/>
      <w:lang w:eastAsia="ja-JP"/>
    </w:rPr>
  </w:style>
  <w:style w:type="paragraph" w:customStyle="1" w:styleId="FirstTABLErow">
    <w:name w:val="First TABLE row"/>
    <w:basedOn w:val="Normal"/>
    <w:qFormat/>
    <w:rsid w:val="001F4600"/>
    <w:pPr>
      <w:spacing w:after="0" w:line="240" w:lineRule="auto"/>
      <w:ind w:left="0"/>
      <w:jc w:val="left"/>
    </w:pPr>
    <w:rPr>
      <w:rFonts w:ascii="Calibri" w:eastAsia="MS Mincho" w:hAnsi="Calibri" w:cs="Times New Roman"/>
      <w:b/>
      <w:color w:val="auto"/>
      <w:szCs w:val="24"/>
      <w:lang w:eastAsia="ja-JP"/>
    </w:rPr>
  </w:style>
  <w:style w:type="paragraph" w:customStyle="1" w:styleId="TABLEtext0">
    <w:name w:val="TABLE text"/>
    <w:basedOn w:val="Normal"/>
    <w:qFormat/>
    <w:rsid w:val="001F4600"/>
    <w:pPr>
      <w:spacing w:after="0" w:line="240" w:lineRule="auto"/>
      <w:ind w:left="0"/>
      <w:jc w:val="left"/>
    </w:pPr>
    <w:rPr>
      <w:rFonts w:ascii="Calibri" w:eastAsia="MS Mincho" w:hAnsi="Calibri" w:cs="Times New Roman"/>
      <w:color w:val="auto"/>
      <w:szCs w:val="24"/>
      <w:lang w:eastAsia="ja-JP"/>
    </w:rPr>
  </w:style>
  <w:style w:type="paragraph" w:customStyle="1" w:styleId="TABLEtotalrow">
    <w:name w:val="TABLE total row"/>
    <w:basedOn w:val="FirstTABLErow"/>
    <w:qFormat/>
    <w:rsid w:val="001F4600"/>
  </w:style>
  <w:style w:type="paragraph" w:customStyle="1" w:styleId="figureheading0">
    <w:name w:val="figure heading"/>
    <w:basedOn w:val="Normal"/>
    <w:link w:val="figureheadingChar0"/>
    <w:qFormat/>
    <w:rsid w:val="001F4600"/>
    <w:pPr>
      <w:keepNext/>
      <w:spacing w:after="160" w:line="259" w:lineRule="auto"/>
      <w:ind w:left="0"/>
      <w:jc w:val="left"/>
    </w:pPr>
    <w:rPr>
      <w:rFonts w:asciiTheme="minorHAnsi" w:hAnsiTheme="minorHAnsi"/>
      <w:b/>
      <w:color w:val="auto"/>
      <w:sz w:val="22"/>
    </w:rPr>
  </w:style>
  <w:style w:type="paragraph" w:customStyle="1" w:styleId="tableheading0">
    <w:name w:val="table heading"/>
    <w:basedOn w:val="Normal"/>
    <w:link w:val="tableheadingChar0"/>
    <w:qFormat/>
    <w:rsid w:val="001F4600"/>
    <w:pPr>
      <w:spacing w:after="160" w:line="259" w:lineRule="auto"/>
      <w:ind w:left="0"/>
      <w:jc w:val="left"/>
    </w:pPr>
    <w:rPr>
      <w:rFonts w:asciiTheme="minorHAnsi" w:hAnsiTheme="minorHAnsi"/>
      <w:b/>
      <w:color w:val="auto"/>
      <w:sz w:val="22"/>
    </w:rPr>
  </w:style>
  <w:style w:type="character" w:customStyle="1" w:styleId="figureheadingChar0">
    <w:name w:val="figure heading Char"/>
    <w:basedOn w:val="DefaultParagraphFont"/>
    <w:link w:val="figureheading0"/>
    <w:rsid w:val="001F4600"/>
    <w:rPr>
      <w:b/>
    </w:rPr>
  </w:style>
  <w:style w:type="character" w:customStyle="1" w:styleId="tableheadingChar0">
    <w:name w:val="table heading Char"/>
    <w:basedOn w:val="DefaultParagraphFont"/>
    <w:link w:val="tableheading0"/>
    <w:rsid w:val="001F4600"/>
    <w:rPr>
      <w:b/>
    </w:rPr>
  </w:style>
  <w:style w:type="paragraph" w:styleId="CommentSubject">
    <w:name w:val="annotation subject"/>
    <w:basedOn w:val="CommentText"/>
    <w:next w:val="CommentText"/>
    <w:link w:val="CommentSubjectChar"/>
    <w:semiHidden/>
    <w:unhideWhenUsed/>
    <w:rsid w:val="001F4600"/>
    <w:rPr>
      <w:b/>
      <w:bCs/>
    </w:rPr>
  </w:style>
  <w:style w:type="character" w:customStyle="1" w:styleId="CommentSubjectChar">
    <w:name w:val="Comment Subject Char"/>
    <w:basedOn w:val="CommentTextChar"/>
    <w:link w:val="CommentSubject"/>
    <w:semiHidden/>
    <w:rsid w:val="001F4600"/>
    <w:rPr>
      <w:b/>
      <w:bCs/>
      <w:sz w:val="20"/>
      <w:szCs w:val="20"/>
    </w:rPr>
  </w:style>
  <w:style w:type="paragraph" w:customStyle="1" w:styleId="074EF62791FB43D5BABA2A86770D01D4">
    <w:name w:val="074EF62791FB43D5BABA2A86770D01D4"/>
    <w:rsid w:val="001F4600"/>
    <w:rPr>
      <w:rFonts w:eastAsiaTheme="minorEastAsia"/>
      <w:lang w:eastAsia="en-AU"/>
    </w:rPr>
  </w:style>
  <w:style w:type="paragraph" w:styleId="ListNumber5">
    <w:name w:val="List Number 5"/>
    <w:basedOn w:val="Normal"/>
    <w:uiPriority w:val="99"/>
    <w:rsid w:val="001F4600"/>
    <w:pPr>
      <w:spacing w:after="200" w:line="276" w:lineRule="auto"/>
      <w:ind w:left="1845" w:hanging="369"/>
      <w:jc w:val="left"/>
    </w:pPr>
    <w:rPr>
      <w:rFonts w:eastAsia="Calibri" w:cs="Times New Roman"/>
      <w:color w:val="auto"/>
      <w:sz w:val="22"/>
    </w:rPr>
  </w:style>
  <w:style w:type="paragraph" w:customStyle="1" w:styleId="OnePagerH1">
    <w:name w:val="One Pager H1"/>
    <w:next w:val="Normal"/>
    <w:rsid w:val="007304B9"/>
    <w:pPr>
      <w:numPr>
        <w:numId w:val="13"/>
      </w:numPr>
      <w:ind w:left="709" w:hanging="709"/>
    </w:pPr>
    <w:rPr>
      <w:rFonts w:asciiTheme="majorHAnsi" w:eastAsia="Times New Roman" w:hAnsiTheme="majorHAnsi" w:cs="Arial"/>
      <w:b/>
      <w:bCs/>
      <w:color w:val="22789A"/>
      <w:kern w:val="32"/>
      <w:sz w:val="32"/>
      <w:szCs w:val="32"/>
    </w:rPr>
  </w:style>
  <w:style w:type="paragraph" w:customStyle="1" w:styleId="OnePagerH2">
    <w:name w:val="One Pager H2"/>
    <w:basedOn w:val="OnePagerH1"/>
    <w:rsid w:val="007304B9"/>
    <w:pPr>
      <w:numPr>
        <w:ilvl w:val="1"/>
      </w:numPr>
    </w:pPr>
    <w:rPr>
      <w:color w:val="6CCCDE"/>
      <w:sz w:val="22"/>
      <w:szCs w:val="22"/>
    </w:rPr>
  </w:style>
  <w:style w:type="paragraph" w:customStyle="1" w:styleId="OnePagerH3">
    <w:name w:val="One Pager H3"/>
    <w:basedOn w:val="OnePagerH2"/>
    <w:next w:val="Normal"/>
    <w:rsid w:val="007304B9"/>
    <w:pPr>
      <w:numPr>
        <w:ilvl w:val="2"/>
      </w:numPr>
      <w:ind w:left="0"/>
    </w:pPr>
  </w:style>
  <w:style w:type="numbering" w:customStyle="1" w:styleId="OCEOnePagerHeadingStyles">
    <w:name w:val="OCE One Pager Heading Styles"/>
    <w:uiPriority w:val="99"/>
    <w:rsid w:val="007304B9"/>
    <w:pPr>
      <w:numPr>
        <w:numId w:val="12"/>
      </w:numPr>
    </w:pPr>
  </w:style>
  <w:style w:type="paragraph" w:customStyle="1" w:styleId="ReportTitle">
    <w:name w:val="Report Title"/>
    <w:basedOn w:val="Normal"/>
    <w:uiPriority w:val="11"/>
    <w:qFormat/>
    <w:rsid w:val="0023714C"/>
    <w:pPr>
      <w:spacing w:after="200" w:line="276" w:lineRule="auto"/>
      <w:ind w:left="0"/>
      <w:jc w:val="left"/>
    </w:pPr>
    <w:rPr>
      <w:rFonts w:eastAsia="Calibri" w:cs="Times New Roman"/>
      <w:b/>
      <w:color w:val="424344" w:themeColor="text2" w:themeShade="BF"/>
      <w:sz w:val="52"/>
    </w:rPr>
  </w:style>
  <w:style w:type="paragraph" w:customStyle="1" w:styleId="Reportsubtitle">
    <w:name w:val="Report sub title"/>
    <w:basedOn w:val="ReportTitle"/>
    <w:uiPriority w:val="11"/>
    <w:qFormat/>
    <w:rsid w:val="0023714C"/>
    <w:rPr>
      <w:b w:val="0"/>
      <w:color w:val="auto"/>
      <w:sz w:val="32"/>
    </w:rPr>
  </w:style>
  <w:style w:type="paragraph" w:styleId="ListBullet5">
    <w:name w:val="List Bullet 5"/>
    <w:basedOn w:val="Normal"/>
    <w:uiPriority w:val="99"/>
    <w:semiHidden/>
    <w:unhideWhenUsed/>
    <w:rsid w:val="008F161D"/>
    <w:pPr>
      <w:spacing w:after="200" w:line="276" w:lineRule="auto"/>
      <w:ind w:left="1800" w:hanging="360"/>
      <w:jc w:val="left"/>
    </w:pPr>
    <w:rPr>
      <w:rFonts w:eastAsia="Calibri" w:cs="Times New Roman"/>
      <w:color w:val="auto"/>
      <w:sz w:val="22"/>
    </w:rPr>
  </w:style>
  <w:style w:type="numbering" w:customStyle="1" w:styleId="BulletList">
    <w:name w:val="Bullet List"/>
    <w:uiPriority w:val="99"/>
    <w:rsid w:val="008F161D"/>
    <w:pPr>
      <w:numPr>
        <w:numId w:val="1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81818">
      <w:bodyDiv w:val="1"/>
      <w:marLeft w:val="0"/>
      <w:marRight w:val="0"/>
      <w:marTop w:val="0"/>
      <w:marBottom w:val="0"/>
      <w:divBdr>
        <w:top w:val="none" w:sz="0" w:space="0" w:color="auto"/>
        <w:left w:val="none" w:sz="0" w:space="0" w:color="auto"/>
        <w:bottom w:val="none" w:sz="0" w:space="0" w:color="auto"/>
        <w:right w:val="none" w:sz="0" w:space="0" w:color="auto"/>
      </w:divBdr>
    </w:div>
    <w:div w:id="140342735">
      <w:bodyDiv w:val="1"/>
      <w:marLeft w:val="0"/>
      <w:marRight w:val="0"/>
      <w:marTop w:val="0"/>
      <w:marBottom w:val="0"/>
      <w:divBdr>
        <w:top w:val="none" w:sz="0" w:space="0" w:color="auto"/>
        <w:left w:val="none" w:sz="0" w:space="0" w:color="auto"/>
        <w:bottom w:val="none" w:sz="0" w:space="0" w:color="auto"/>
        <w:right w:val="none" w:sz="0" w:space="0" w:color="auto"/>
      </w:divBdr>
    </w:div>
    <w:div w:id="154498434">
      <w:bodyDiv w:val="1"/>
      <w:marLeft w:val="0"/>
      <w:marRight w:val="0"/>
      <w:marTop w:val="0"/>
      <w:marBottom w:val="0"/>
      <w:divBdr>
        <w:top w:val="none" w:sz="0" w:space="0" w:color="auto"/>
        <w:left w:val="none" w:sz="0" w:space="0" w:color="auto"/>
        <w:bottom w:val="none" w:sz="0" w:space="0" w:color="auto"/>
        <w:right w:val="none" w:sz="0" w:space="0" w:color="auto"/>
      </w:divBdr>
    </w:div>
    <w:div w:id="242226782">
      <w:bodyDiv w:val="1"/>
      <w:marLeft w:val="0"/>
      <w:marRight w:val="0"/>
      <w:marTop w:val="0"/>
      <w:marBottom w:val="0"/>
      <w:divBdr>
        <w:top w:val="none" w:sz="0" w:space="0" w:color="auto"/>
        <w:left w:val="none" w:sz="0" w:space="0" w:color="auto"/>
        <w:bottom w:val="none" w:sz="0" w:space="0" w:color="auto"/>
        <w:right w:val="none" w:sz="0" w:space="0" w:color="auto"/>
      </w:divBdr>
    </w:div>
    <w:div w:id="292516482">
      <w:bodyDiv w:val="1"/>
      <w:marLeft w:val="0"/>
      <w:marRight w:val="0"/>
      <w:marTop w:val="0"/>
      <w:marBottom w:val="0"/>
      <w:divBdr>
        <w:top w:val="none" w:sz="0" w:space="0" w:color="auto"/>
        <w:left w:val="none" w:sz="0" w:space="0" w:color="auto"/>
        <w:bottom w:val="none" w:sz="0" w:space="0" w:color="auto"/>
        <w:right w:val="none" w:sz="0" w:space="0" w:color="auto"/>
      </w:divBdr>
    </w:div>
    <w:div w:id="526020364">
      <w:bodyDiv w:val="1"/>
      <w:marLeft w:val="0"/>
      <w:marRight w:val="0"/>
      <w:marTop w:val="0"/>
      <w:marBottom w:val="0"/>
      <w:divBdr>
        <w:top w:val="none" w:sz="0" w:space="0" w:color="auto"/>
        <w:left w:val="none" w:sz="0" w:space="0" w:color="auto"/>
        <w:bottom w:val="none" w:sz="0" w:space="0" w:color="auto"/>
        <w:right w:val="none" w:sz="0" w:space="0" w:color="auto"/>
      </w:divBdr>
      <w:divsChild>
        <w:div w:id="1476872378">
          <w:marLeft w:val="0"/>
          <w:marRight w:val="0"/>
          <w:marTop w:val="0"/>
          <w:marBottom w:val="0"/>
          <w:divBdr>
            <w:top w:val="none" w:sz="0" w:space="0" w:color="auto"/>
            <w:left w:val="none" w:sz="0" w:space="0" w:color="auto"/>
            <w:bottom w:val="none" w:sz="0" w:space="0" w:color="auto"/>
            <w:right w:val="none" w:sz="0" w:space="0" w:color="auto"/>
          </w:divBdr>
          <w:divsChild>
            <w:div w:id="1594387949">
              <w:marLeft w:val="0"/>
              <w:marRight w:val="0"/>
              <w:marTop w:val="225"/>
              <w:marBottom w:val="0"/>
              <w:divBdr>
                <w:top w:val="none" w:sz="0" w:space="0" w:color="auto"/>
                <w:left w:val="none" w:sz="0" w:space="0" w:color="auto"/>
                <w:bottom w:val="none" w:sz="0" w:space="0" w:color="auto"/>
                <w:right w:val="none" w:sz="0" w:space="0" w:color="auto"/>
              </w:divBdr>
              <w:divsChild>
                <w:div w:id="145711814">
                  <w:marLeft w:val="0"/>
                  <w:marRight w:val="0"/>
                  <w:marTop w:val="0"/>
                  <w:marBottom w:val="0"/>
                  <w:divBdr>
                    <w:top w:val="none" w:sz="0" w:space="0" w:color="auto"/>
                    <w:left w:val="none" w:sz="0" w:space="0" w:color="auto"/>
                    <w:bottom w:val="none" w:sz="0" w:space="0" w:color="auto"/>
                    <w:right w:val="none" w:sz="0" w:space="0" w:color="auto"/>
                  </w:divBdr>
                  <w:divsChild>
                    <w:div w:id="824397396">
                      <w:marLeft w:val="0"/>
                      <w:marRight w:val="0"/>
                      <w:marTop w:val="0"/>
                      <w:marBottom w:val="0"/>
                      <w:divBdr>
                        <w:top w:val="none" w:sz="0" w:space="0" w:color="auto"/>
                        <w:left w:val="none" w:sz="0" w:space="0" w:color="auto"/>
                        <w:bottom w:val="none" w:sz="0" w:space="0" w:color="auto"/>
                        <w:right w:val="none" w:sz="0" w:space="0" w:color="auto"/>
                      </w:divBdr>
                      <w:divsChild>
                        <w:div w:id="22942736">
                          <w:marLeft w:val="0"/>
                          <w:marRight w:val="0"/>
                          <w:marTop w:val="0"/>
                          <w:marBottom w:val="0"/>
                          <w:divBdr>
                            <w:top w:val="none" w:sz="0" w:space="0" w:color="auto"/>
                            <w:left w:val="none" w:sz="0" w:space="0" w:color="auto"/>
                            <w:bottom w:val="none" w:sz="0" w:space="0" w:color="auto"/>
                            <w:right w:val="none" w:sz="0" w:space="0" w:color="auto"/>
                          </w:divBdr>
                          <w:divsChild>
                            <w:div w:id="541944719">
                              <w:marLeft w:val="0"/>
                              <w:marRight w:val="0"/>
                              <w:marTop w:val="0"/>
                              <w:marBottom w:val="0"/>
                              <w:divBdr>
                                <w:top w:val="none" w:sz="0" w:space="0" w:color="auto"/>
                                <w:left w:val="none" w:sz="0" w:space="0" w:color="auto"/>
                                <w:bottom w:val="none" w:sz="0" w:space="0" w:color="auto"/>
                                <w:right w:val="none" w:sz="0" w:space="0" w:color="auto"/>
                              </w:divBdr>
                              <w:divsChild>
                                <w:div w:id="1956449995">
                                  <w:marLeft w:val="0"/>
                                  <w:marRight w:val="0"/>
                                  <w:marTop w:val="0"/>
                                  <w:marBottom w:val="0"/>
                                  <w:divBdr>
                                    <w:top w:val="none" w:sz="0" w:space="0" w:color="auto"/>
                                    <w:left w:val="none" w:sz="0" w:space="0" w:color="auto"/>
                                    <w:bottom w:val="none" w:sz="0" w:space="0" w:color="auto"/>
                                    <w:right w:val="none" w:sz="0" w:space="0" w:color="auto"/>
                                  </w:divBdr>
                                  <w:divsChild>
                                    <w:div w:id="606012683">
                                      <w:marLeft w:val="0"/>
                                      <w:marRight w:val="0"/>
                                      <w:marTop w:val="300"/>
                                      <w:marBottom w:val="300"/>
                                      <w:divBdr>
                                        <w:top w:val="none" w:sz="0" w:space="0" w:color="auto"/>
                                        <w:left w:val="none" w:sz="0" w:space="0" w:color="auto"/>
                                        <w:bottom w:val="single" w:sz="6" w:space="11" w:color="BBBBBB"/>
                                        <w:right w:val="none" w:sz="0" w:space="0" w:color="auto"/>
                                      </w:divBdr>
                                      <w:divsChild>
                                        <w:div w:id="1581208362">
                                          <w:marLeft w:val="0"/>
                                          <w:marRight w:val="0"/>
                                          <w:marTop w:val="0"/>
                                          <w:marBottom w:val="0"/>
                                          <w:divBdr>
                                            <w:top w:val="none" w:sz="0" w:space="0" w:color="auto"/>
                                            <w:left w:val="none" w:sz="0" w:space="0" w:color="auto"/>
                                            <w:bottom w:val="none" w:sz="0" w:space="0" w:color="auto"/>
                                            <w:right w:val="none" w:sz="0" w:space="0" w:color="auto"/>
                                          </w:divBdr>
                                          <w:divsChild>
                                            <w:div w:id="1668091447">
                                              <w:marLeft w:val="0"/>
                                              <w:marRight w:val="0"/>
                                              <w:marTop w:val="0"/>
                                              <w:marBottom w:val="0"/>
                                              <w:divBdr>
                                                <w:top w:val="none" w:sz="0" w:space="0" w:color="auto"/>
                                                <w:left w:val="none" w:sz="0" w:space="0" w:color="auto"/>
                                                <w:bottom w:val="none" w:sz="0" w:space="0" w:color="auto"/>
                                                <w:right w:val="none" w:sz="0" w:space="0" w:color="auto"/>
                                              </w:divBdr>
                                              <w:divsChild>
                                                <w:div w:id="725496941">
                                                  <w:marLeft w:val="0"/>
                                                  <w:marRight w:val="0"/>
                                                  <w:marTop w:val="0"/>
                                                  <w:marBottom w:val="0"/>
                                                  <w:divBdr>
                                                    <w:top w:val="none" w:sz="0" w:space="0" w:color="auto"/>
                                                    <w:left w:val="none" w:sz="0" w:space="0" w:color="auto"/>
                                                    <w:bottom w:val="none" w:sz="0" w:space="0" w:color="auto"/>
                                                    <w:right w:val="none" w:sz="0" w:space="0" w:color="auto"/>
                                                  </w:divBdr>
                                                  <w:divsChild>
                                                    <w:div w:id="177042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54901470">
      <w:bodyDiv w:val="1"/>
      <w:marLeft w:val="0"/>
      <w:marRight w:val="0"/>
      <w:marTop w:val="0"/>
      <w:marBottom w:val="0"/>
      <w:divBdr>
        <w:top w:val="none" w:sz="0" w:space="0" w:color="auto"/>
        <w:left w:val="none" w:sz="0" w:space="0" w:color="auto"/>
        <w:bottom w:val="none" w:sz="0" w:space="0" w:color="auto"/>
        <w:right w:val="none" w:sz="0" w:space="0" w:color="auto"/>
      </w:divBdr>
    </w:div>
    <w:div w:id="577599986">
      <w:bodyDiv w:val="1"/>
      <w:marLeft w:val="0"/>
      <w:marRight w:val="0"/>
      <w:marTop w:val="0"/>
      <w:marBottom w:val="0"/>
      <w:divBdr>
        <w:top w:val="none" w:sz="0" w:space="0" w:color="auto"/>
        <w:left w:val="none" w:sz="0" w:space="0" w:color="auto"/>
        <w:bottom w:val="none" w:sz="0" w:space="0" w:color="auto"/>
        <w:right w:val="none" w:sz="0" w:space="0" w:color="auto"/>
      </w:divBdr>
    </w:div>
    <w:div w:id="598104236">
      <w:bodyDiv w:val="1"/>
      <w:marLeft w:val="0"/>
      <w:marRight w:val="0"/>
      <w:marTop w:val="0"/>
      <w:marBottom w:val="0"/>
      <w:divBdr>
        <w:top w:val="none" w:sz="0" w:space="0" w:color="auto"/>
        <w:left w:val="none" w:sz="0" w:space="0" w:color="auto"/>
        <w:bottom w:val="none" w:sz="0" w:space="0" w:color="auto"/>
        <w:right w:val="none" w:sz="0" w:space="0" w:color="auto"/>
      </w:divBdr>
      <w:divsChild>
        <w:div w:id="471021504">
          <w:marLeft w:val="446"/>
          <w:marRight w:val="0"/>
          <w:marTop w:val="0"/>
          <w:marBottom w:val="238"/>
          <w:divBdr>
            <w:top w:val="none" w:sz="0" w:space="0" w:color="auto"/>
            <w:left w:val="none" w:sz="0" w:space="0" w:color="auto"/>
            <w:bottom w:val="none" w:sz="0" w:space="0" w:color="auto"/>
            <w:right w:val="none" w:sz="0" w:space="0" w:color="auto"/>
          </w:divBdr>
        </w:div>
        <w:div w:id="867370850">
          <w:marLeft w:val="446"/>
          <w:marRight w:val="0"/>
          <w:marTop w:val="0"/>
          <w:marBottom w:val="238"/>
          <w:divBdr>
            <w:top w:val="none" w:sz="0" w:space="0" w:color="auto"/>
            <w:left w:val="none" w:sz="0" w:space="0" w:color="auto"/>
            <w:bottom w:val="none" w:sz="0" w:space="0" w:color="auto"/>
            <w:right w:val="none" w:sz="0" w:space="0" w:color="auto"/>
          </w:divBdr>
        </w:div>
        <w:div w:id="989745752">
          <w:marLeft w:val="446"/>
          <w:marRight w:val="0"/>
          <w:marTop w:val="0"/>
          <w:marBottom w:val="238"/>
          <w:divBdr>
            <w:top w:val="none" w:sz="0" w:space="0" w:color="auto"/>
            <w:left w:val="none" w:sz="0" w:space="0" w:color="auto"/>
            <w:bottom w:val="none" w:sz="0" w:space="0" w:color="auto"/>
            <w:right w:val="none" w:sz="0" w:space="0" w:color="auto"/>
          </w:divBdr>
        </w:div>
        <w:div w:id="1118138928">
          <w:marLeft w:val="446"/>
          <w:marRight w:val="0"/>
          <w:marTop w:val="0"/>
          <w:marBottom w:val="238"/>
          <w:divBdr>
            <w:top w:val="none" w:sz="0" w:space="0" w:color="auto"/>
            <w:left w:val="none" w:sz="0" w:space="0" w:color="auto"/>
            <w:bottom w:val="none" w:sz="0" w:space="0" w:color="auto"/>
            <w:right w:val="none" w:sz="0" w:space="0" w:color="auto"/>
          </w:divBdr>
        </w:div>
        <w:div w:id="1547184052">
          <w:marLeft w:val="446"/>
          <w:marRight w:val="0"/>
          <w:marTop w:val="0"/>
          <w:marBottom w:val="238"/>
          <w:divBdr>
            <w:top w:val="none" w:sz="0" w:space="0" w:color="auto"/>
            <w:left w:val="none" w:sz="0" w:space="0" w:color="auto"/>
            <w:bottom w:val="none" w:sz="0" w:space="0" w:color="auto"/>
            <w:right w:val="none" w:sz="0" w:space="0" w:color="auto"/>
          </w:divBdr>
        </w:div>
        <w:div w:id="1878203346">
          <w:marLeft w:val="446"/>
          <w:marRight w:val="0"/>
          <w:marTop w:val="0"/>
          <w:marBottom w:val="238"/>
          <w:divBdr>
            <w:top w:val="none" w:sz="0" w:space="0" w:color="auto"/>
            <w:left w:val="none" w:sz="0" w:space="0" w:color="auto"/>
            <w:bottom w:val="none" w:sz="0" w:space="0" w:color="auto"/>
            <w:right w:val="none" w:sz="0" w:space="0" w:color="auto"/>
          </w:divBdr>
        </w:div>
        <w:div w:id="1965767620">
          <w:marLeft w:val="446"/>
          <w:marRight w:val="0"/>
          <w:marTop w:val="0"/>
          <w:marBottom w:val="238"/>
          <w:divBdr>
            <w:top w:val="none" w:sz="0" w:space="0" w:color="auto"/>
            <w:left w:val="none" w:sz="0" w:space="0" w:color="auto"/>
            <w:bottom w:val="none" w:sz="0" w:space="0" w:color="auto"/>
            <w:right w:val="none" w:sz="0" w:space="0" w:color="auto"/>
          </w:divBdr>
        </w:div>
        <w:div w:id="2115858669">
          <w:marLeft w:val="446"/>
          <w:marRight w:val="0"/>
          <w:marTop w:val="0"/>
          <w:marBottom w:val="238"/>
          <w:divBdr>
            <w:top w:val="none" w:sz="0" w:space="0" w:color="auto"/>
            <w:left w:val="none" w:sz="0" w:space="0" w:color="auto"/>
            <w:bottom w:val="none" w:sz="0" w:space="0" w:color="auto"/>
            <w:right w:val="none" w:sz="0" w:space="0" w:color="auto"/>
          </w:divBdr>
        </w:div>
      </w:divsChild>
    </w:div>
    <w:div w:id="677003530">
      <w:bodyDiv w:val="1"/>
      <w:marLeft w:val="0"/>
      <w:marRight w:val="0"/>
      <w:marTop w:val="0"/>
      <w:marBottom w:val="0"/>
      <w:divBdr>
        <w:top w:val="none" w:sz="0" w:space="0" w:color="auto"/>
        <w:left w:val="none" w:sz="0" w:space="0" w:color="auto"/>
        <w:bottom w:val="none" w:sz="0" w:space="0" w:color="auto"/>
        <w:right w:val="none" w:sz="0" w:space="0" w:color="auto"/>
      </w:divBdr>
    </w:div>
    <w:div w:id="724960045">
      <w:bodyDiv w:val="1"/>
      <w:marLeft w:val="0"/>
      <w:marRight w:val="0"/>
      <w:marTop w:val="0"/>
      <w:marBottom w:val="0"/>
      <w:divBdr>
        <w:top w:val="none" w:sz="0" w:space="0" w:color="auto"/>
        <w:left w:val="none" w:sz="0" w:space="0" w:color="auto"/>
        <w:bottom w:val="none" w:sz="0" w:space="0" w:color="auto"/>
        <w:right w:val="none" w:sz="0" w:space="0" w:color="auto"/>
      </w:divBdr>
    </w:div>
    <w:div w:id="768505712">
      <w:bodyDiv w:val="1"/>
      <w:marLeft w:val="0"/>
      <w:marRight w:val="0"/>
      <w:marTop w:val="0"/>
      <w:marBottom w:val="0"/>
      <w:divBdr>
        <w:top w:val="none" w:sz="0" w:space="0" w:color="auto"/>
        <w:left w:val="none" w:sz="0" w:space="0" w:color="auto"/>
        <w:bottom w:val="none" w:sz="0" w:space="0" w:color="auto"/>
        <w:right w:val="none" w:sz="0" w:space="0" w:color="auto"/>
      </w:divBdr>
    </w:div>
    <w:div w:id="811798125">
      <w:bodyDiv w:val="1"/>
      <w:marLeft w:val="0"/>
      <w:marRight w:val="0"/>
      <w:marTop w:val="0"/>
      <w:marBottom w:val="0"/>
      <w:divBdr>
        <w:top w:val="none" w:sz="0" w:space="0" w:color="auto"/>
        <w:left w:val="none" w:sz="0" w:space="0" w:color="auto"/>
        <w:bottom w:val="none" w:sz="0" w:space="0" w:color="auto"/>
        <w:right w:val="none" w:sz="0" w:space="0" w:color="auto"/>
      </w:divBdr>
    </w:div>
    <w:div w:id="863246412">
      <w:bodyDiv w:val="1"/>
      <w:marLeft w:val="0"/>
      <w:marRight w:val="0"/>
      <w:marTop w:val="0"/>
      <w:marBottom w:val="0"/>
      <w:divBdr>
        <w:top w:val="none" w:sz="0" w:space="0" w:color="auto"/>
        <w:left w:val="none" w:sz="0" w:space="0" w:color="auto"/>
        <w:bottom w:val="none" w:sz="0" w:space="0" w:color="auto"/>
        <w:right w:val="none" w:sz="0" w:space="0" w:color="auto"/>
      </w:divBdr>
    </w:div>
    <w:div w:id="863790619">
      <w:bodyDiv w:val="1"/>
      <w:marLeft w:val="0"/>
      <w:marRight w:val="0"/>
      <w:marTop w:val="0"/>
      <w:marBottom w:val="0"/>
      <w:divBdr>
        <w:top w:val="none" w:sz="0" w:space="0" w:color="auto"/>
        <w:left w:val="none" w:sz="0" w:space="0" w:color="auto"/>
        <w:bottom w:val="none" w:sz="0" w:space="0" w:color="auto"/>
        <w:right w:val="none" w:sz="0" w:space="0" w:color="auto"/>
      </w:divBdr>
    </w:div>
    <w:div w:id="866259871">
      <w:bodyDiv w:val="1"/>
      <w:marLeft w:val="0"/>
      <w:marRight w:val="0"/>
      <w:marTop w:val="0"/>
      <w:marBottom w:val="0"/>
      <w:divBdr>
        <w:top w:val="none" w:sz="0" w:space="0" w:color="auto"/>
        <w:left w:val="none" w:sz="0" w:space="0" w:color="auto"/>
        <w:bottom w:val="none" w:sz="0" w:space="0" w:color="auto"/>
        <w:right w:val="none" w:sz="0" w:space="0" w:color="auto"/>
      </w:divBdr>
      <w:divsChild>
        <w:div w:id="893661192">
          <w:marLeft w:val="0"/>
          <w:marRight w:val="0"/>
          <w:marTop w:val="0"/>
          <w:marBottom w:val="0"/>
          <w:divBdr>
            <w:top w:val="none" w:sz="0" w:space="0" w:color="auto"/>
            <w:left w:val="none" w:sz="0" w:space="0" w:color="auto"/>
            <w:bottom w:val="none" w:sz="0" w:space="0" w:color="auto"/>
            <w:right w:val="none" w:sz="0" w:space="0" w:color="auto"/>
          </w:divBdr>
          <w:divsChild>
            <w:div w:id="1400204851">
              <w:marLeft w:val="150"/>
              <w:marRight w:val="150"/>
              <w:marTop w:val="150"/>
              <w:marBottom w:val="150"/>
              <w:divBdr>
                <w:top w:val="none" w:sz="0" w:space="0" w:color="auto"/>
                <w:left w:val="none" w:sz="0" w:space="0" w:color="auto"/>
                <w:bottom w:val="none" w:sz="0" w:space="0" w:color="auto"/>
                <w:right w:val="none" w:sz="0" w:space="0" w:color="auto"/>
              </w:divBdr>
              <w:divsChild>
                <w:div w:id="203099402">
                  <w:marLeft w:val="0"/>
                  <w:marRight w:val="0"/>
                  <w:marTop w:val="0"/>
                  <w:marBottom w:val="0"/>
                  <w:divBdr>
                    <w:top w:val="single" w:sz="6" w:space="0" w:color="999999"/>
                    <w:left w:val="single" w:sz="6" w:space="0" w:color="999999"/>
                    <w:bottom w:val="single" w:sz="6" w:space="0" w:color="999999"/>
                    <w:right w:val="single" w:sz="6" w:space="0" w:color="999999"/>
                  </w:divBdr>
                  <w:divsChild>
                    <w:div w:id="1554341748">
                      <w:marLeft w:val="0"/>
                      <w:marRight w:val="0"/>
                      <w:marTop w:val="0"/>
                      <w:marBottom w:val="0"/>
                      <w:divBdr>
                        <w:top w:val="none" w:sz="0" w:space="0" w:color="auto"/>
                        <w:left w:val="none" w:sz="0" w:space="0" w:color="auto"/>
                        <w:bottom w:val="none" w:sz="0" w:space="0" w:color="auto"/>
                        <w:right w:val="none" w:sz="0" w:space="0" w:color="auto"/>
                      </w:divBdr>
                      <w:divsChild>
                        <w:div w:id="1277716833">
                          <w:marLeft w:val="-225"/>
                          <w:marRight w:val="-225"/>
                          <w:marTop w:val="0"/>
                          <w:marBottom w:val="0"/>
                          <w:divBdr>
                            <w:top w:val="none" w:sz="0" w:space="0" w:color="auto"/>
                            <w:left w:val="none" w:sz="0" w:space="0" w:color="auto"/>
                            <w:bottom w:val="none" w:sz="0" w:space="0" w:color="auto"/>
                            <w:right w:val="none" w:sz="0" w:space="0" w:color="auto"/>
                          </w:divBdr>
                          <w:divsChild>
                            <w:div w:id="354161857">
                              <w:marLeft w:val="0"/>
                              <w:marRight w:val="0"/>
                              <w:marTop w:val="0"/>
                              <w:marBottom w:val="0"/>
                              <w:divBdr>
                                <w:top w:val="none" w:sz="0" w:space="0" w:color="auto"/>
                                <w:left w:val="none" w:sz="0" w:space="0" w:color="auto"/>
                                <w:bottom w:val="none" w:sz="0" w:space="0" w:color="auto"/>
                                <w:right w:val="none" w:sz="0" w:space="0" w:color="auto"/>
                              </w:divBdr>
                              <w:divsChild>
                                <w:div w:id="1150516326">
                                  <w:marLeft w:val="0"/>
                                  <w:marRight w:val="0"/>
                                  <w:marTop w:val="0"/>
                                  <w:marBottom w:val="0"/>
                                  <w:divBdr>
                                    <w:top w:val="none" w:sz="0" w:space="0" w:color="auto"/>
                                    <w:left w:val="none" w:sz="0" w:space="0" w:color="auto"/>
                                    <w:bottom w:val="none" w:sz="0" w:space="0" w:color="auto"/>
                                    <w:right w:val="none" w:sz="0" w:space="0" w:color="auto"/>
                                  </w:divBdr>
                                  <w:divsChild>
                                    <w:div w:id="2035693050">
                                      <w:marLeft w:val="0"/>
                                      <w:marRight w:val="0"/>
                                      <w:marTop w:val="0"/>
                                      <w:marBottom w:val="0"/>
                                      <w:divBdr>
                                        <w:top w:val="none" w:sz="0" w:space="0" w:color="auto"/>
                                        <w:left w:val="none" w:sz="0" w:space="0" w:color="auto"/>
                                        <w:bottom w:val="none" w:sz="0" w:space="0" w:color="auto"/>
                                        <w:right w:val="none" w:sz="0" w:space="0" w:color="auto"/>
                                      </w:divBdr>
                                      <w:divsChild>
                                        <w:div w:id="201745318">
                                          <w:marLeft w:val="0"/>
                                          <w:marRight w:val="0"/>
                                          <w:marTop w:val="0"/>
                                          <w:marBottom w:val="0"/>
                                          <w:divBdr>
                                            <w:top w:val="none" w:sz="0" w:space="0" w:color="auto"/>
                                            <w:left w:val="none" w:sz="0" w:space="0" w:color="auto"/>
                                            <w:bottom w:val="none" w:sz="0" w:space="0" w:color="auto"/>
                                            <w:right w:val="none" w:sz="0" w:space="0" w:color="auto"/>
                                          </w:divBdr>
                                          <w:divsChild>
                                            <w:div w:id="2117630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317003">
                                      <w:marLeft w:val="0"/>
                                      <w:marRight w:val="0"/>
                                      <w:marTop w:val="0"/>
                                      <w:marBottom w:val="0"/>
                                      <w:divBdr>
                                        <w:top w:val="none" w:sz="0" w:space="0" w:color="auto"/>
                                        <w:left w:val="none" w:sz="0" w:space="0" w:color="auto"/>
                                        <w:bottom w:val="none" w:sz="0" w:space="0" w:color="auto"/>
                                        <w:right w:val="none" w:sz="0" w:space="0" w:color="auto"/>
                                      </w:divBdr>
                                      <w:divsChild>
                                        <w:div w:id="1540363503">
                                          <w:marLeft w:val="0"/>
                                          <w:marRight w:val="0"/>
                                          <w:marTop w:val="0"/>
                                          <w:marBottom w:val="0"/>
                                          <w:divBdr>
                                            <w:top w:val="none" w:sz="0" w:space="0" w:color="auto"/>
                                            <w:left w:val="none" w:sz="0" w:space="0" w:color="auto"/>
                                            <w:bottom w:val="none" w:sz="0" w:space="0" w:color="auto"/>
                                            <w:right w:val="none" w:sz="0" w:space="0" w:color="auto"/>
                                          </w:divBdr>
                                          <w:divsChild>
                                            <w:div w:id="147660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66931926">
      <w:bodyDiv w:val="1"/>
      <w:marLeft w:val="0"/>
      <w:marRight w:val="0"/>
      <w:marTop w:val="0"/>
      <w:marBottom w:val="0"/>
      <w:divBdr>
        <w:top w:val="none" w:sz="0" w:space="0" w:color="auto"/>
        <w:left w:val="none" w:sz="0" w:space="0" w:color="auto"/>
        <w:bottom w:val="none" w:sz="0" w:space="0" w:color="auto"/>
        <w:right w:val="none" w:sz="0" w:space="0" w:color="auto"/>
      </w:divBdr>
    </w:div>
    <w:div w:id="1018116418">
      <w:bodyDiv w:val="1"/>
      <w:marLeft w:val="0"/>
      <w:marRight w:val="0"/>
      <w:marTop w:val="0"/>
      <w:marBottom w:val="0"/>
      <w:divBdr>
        <w:top w:val="none" w:sz="0" w:space="0" w:color="auto"/>
        <w:left w:val="none" w:sz="0" w:space="0" w:color="auto"/>
        <w:bottom w:val="none" w:sz="0" w:space="0" w:color="auto"/>
        <w:right w:val="none" w:sz="0" w:space="0" w:color="auto"/>
      </w:divBdr>
    </w:div>
    <w:div w:id="1053456957">
      <w:bodyDiv w:val="1"/>
      <w:marLeft w:val="0"/>
      <w:marRight w:val="0"/>
      <w:marTop w:val="0"/>
      <w:marBottom w:val="0"/>
      <w:divBdr>
        <w:top w:val="none" w:sz="0" w:space="0" w:color="auto"/>
        <w:left w:val="none" w:sz="0" w:space="0" w:color="auto"/>
        <w:bottom w:val="none" w:sz="0" w:space="0" w:color="auto"/>
        <w:right w:val="none" w:sz="0" w:space="0" w:color="auto"/>
      </w:divBdr>
      <w:divsChild>
        <w:div w:id="851995427">
          <w:marLeft w:val="0"/>
          <w:marRight w:val="0"/>
          <w:marTop w:val="0"/>
          <w:marBottom w:val="0"/>
          <w:divBdr>
            <w:top w:val="none" w:sz="0" w:space="0" w:color="auto"/>
            <w:left w:val="none" w:sz="0" w:space="0" w:color="auto"/>
            <w:bottom w:val="none" w:sz="0" w:space="0" w:color="auto"/>
            <w:right w:val="none" w:sz="0" w:space="0" w:color="auto"/>
          </w:divBdr>
          <w:divsChild>
            <w:div w:id="144051706">
              <w:marLeft w:val="0"/>
              <w:marRight w:val="0"/>
              <w:marTop w:val="0"/>
              <w:marBottom w:val="0"/>
              <w:divBdr>
                <w:top w:val="none" w:sz="0" w:space="0" w:color="auto"/>
                <w:left w:val="none" w:sz="0" w:space="0" w:color="auto"/>
                <w:bottom w:val="none" w:sz="0" w:space="0" w:color="auto"/>
                <w:right w:val="none" w:sz="0" w:space="0" w:color="auto"/>
              </w:divBdr>
              <w:divsChild>
                <w:div w:id="708532377">
                  <w:marLeft w:val="0"/>
                  <w:marRight w:val="0"/>
                  <w:marTop w:val="0"/>
                  <w:marBottom w:val="0"/>
                  <w:divBdr>
                    <w:top w:val="none" w:sz="0" w:space="0" w:color="auto"/>
                    <w:left w:val="none" w:sz="0" w:space="0" w:color="auto"/>
                    <w:bottom w:val="none" w:sz="0" w:space="0" w:color="auto"/>
                    <w:right w:val="none" w:sz="0" w:space="0" w:color="auto"/>
                  </w:divBdr>
                  <w:divsChild>
                    <w:div w:id="1115363628">
                      <w:marLeft w:val="3000"/>
                      <w:marRight w:val="0"/>
                      <w:marTop w:val="0"/>
                      <w:marBottom w:val="0"/>
                      <w:divBdr>
                        <w:top w:val="none" w:sz="0" w:space="0" w:color="auto"/>
                        <w:left w:val="none" w:sz="0" w:space="0" w:color="auto"/>
                        <w:bottom w:val="none" w:sz="0" w:space="0" w:color="auto"/>
                        <w:right w:val="none" w:sz="0" w:space="0" w:color="auto"/>
                      </w:divBdr>
                      <w:divsChild>
                        <w:div w:id="1187020704">
                          <w:marLeft w:val="0"/>
                          <w:marRight w:val="0"/>
                          <w:marTop w:val="0"/>
                          <w:marBottom w:val="0"/>
                          <w:divBdr>
                            <w:top w:val="none" w:sz="0" w:space="0" w:color="auto"/>
                            <w:left w:val="none" w:sz="0" w:space="0" w:color="auto"/>
                            <w:bottom w:val="none" w:sz="0" w:space="0" w:color="auto"/>
                            <w:right w:val="none" w:sz="0" w:space="0" w:color="auto"/>
                          </w:divBdr>
                          <w:divsChild>
                            <w:div w:id="800929024">
                              <w:marLeft w:val="0"/>
                              <w:marRight w:val="0"/>
                              <w:marTop w:val="0"/>
                              <w:marBottom w:val="0"/>
                              <w:divBdr>
                                <w:top w:val="none" w:sz="0" w:space="0" w:color="auto"/>
                                <w:left w:val="none" w:sz="0" w:space="0" w:color="auto"/>
                                <w:bottom w:val="none" w:sz="0" w:space="0" w:color="auto"/>
                                <w:right w:val="none" w:sz="0" w:space="0" w:color="auto"/>
                              </w:divBdr>
                              <w:divsChild>
                                <w:div w:id="627009064">
                                  <w:marLeft w:val="1"/>
                                  <w:marRight w:val="1"/>
                                  <w:marTop w:val="0"/>
                                  <w:marBottom w:val="0"/>
                                  <w:divBdr>
                                    <w:top w:val="none" w:sz="0" w:space="0" w:color="auto"/>
                                    <w:left w:val="none" w:sz="0" w:space="0" w:color="auto"/>
                                    <w:bottom w:val="none" w:sz="0" w:space="0" w:color="auto"/>
                                    <w:right w:val="none" w:sz="0" w:space="0" w:color="auto"/>
                                  </w:divBdr>
                                  <w:divsChild>
                                    <w:div w:id="11929054">
                                      <w:marLeft w:val="0"/>
                                      <w:marRight w:val="0"/>
                                      <w:marTop w:val="0"/>
                                      <w:marBottom w:val="0"/>
                                      <w:divBdr>
                                        <w:top w:val="none" w:sz="0" w:space="0" w:color="auto"/>
                                        <w:left w:val="none" w:sz="0" w:space="0" w:color="auto"/>
                                        <w:bottom w:val="none" w:sz="0" w:space="0" w:color="auto"/>
                                        <w:right w:val="none" w:sz="0" w:space="0" w:color="auto"/>
                                      </w:divBdr>
                                      <w:divsChild>
                                        <w:div w:id="1654795304">
                                          <w:marLeft w:val="0"/>
                                          <w:marRight w:val="0"/>
                                          <w:marTop w:val="0"/>
                                          <w:marBottom w:val="0"/>
                                          <w:divBdr>
                                            <w:top w:val="none" w:sz="0" w:space="0" w:color="auto"/>
                                            <w:left w:val="none" w:sz="0" w:space="0" w:color="auto"/>
                                            <w:bottom w:val="none" w:sz="0" w:space="0" w:color="auto"/>
                                            <w:right w:val="none" w:sz="0" w:space="0" w:color="auto"/>
                                          </w:divBdr>
                                          <w:divsChild>
                                            <w:div w:id="1085758426">
                                              <w:marLeft w:val="0"/>
                                              <w:marRight w:val="0"/>
                                              <w:marTop w:val="0"/>
                                              <w:marBottom w:val="0"/>
                                              <w:divBdr>
                                                <w:top w:val="none" w:sz="0" w:space="0" w:color="auto"/>
                                                <w:left w:val="none" w:sz="0" w:space="0" w:color="auto"/>
                                                <w:bottom w:val="none" w:sz="0" w:space="0" w:color="auto"/>
                                                <w:right w:val="none" w:sz="0" w:space="0" w:color="auto"/>
                                              </w:divBdr>
                                              <w:divsChild>
                                                <w:div w:id="1658412230">
                                                  <w:marLeft w:val="150"/>
                                                  <w:marRight w:val="0"/>
                                                  <w:marTop w:val="0"/>
                                                  <w:marBottom w:val="0"/>
                                                  <w:divBdr>
                                                    <w:top w:val="none" w:sz="0" w:space="0" w:color="auto"/>
                                                    <w:left w:val="none" w:sz="0" w:space="0" w:color="auto"/>
                                                    <w:bottom w:val="none" w:sz="0" w:space="0" w:color="auto"/>
                                                    <w:right w:val="none" w:sz="0" w:space="0" w:color="auto"/>
                                                  </w:divBdr>
                                                  <w:divsChild>
                                                    <w:div w:id="1704791507">
                                                      <w:marLeft w:val="0"/>
                                                      <w:marRight w:val="0"/>
                                                      <w:marTop w:val="0"/>
                                                      <w:marBottom w:val="0"/>
                                                      <w:divBdr>
                                                        <w:top w:val="none" w:sz="0" w:space="0" w:color="auto"/>
                                                        <w:left w:val="none" w:sz="0" w:space="0" w:color="auto"/>
                                                        <w:bottom w:val="none" w:sz="0" w:space="0" w:color="auto"/>
                                                        <w:right w:val="none" w:sz="0" w:space="0" w:color="auto"/>
                                                      </w:divBdr>
                                                      <w:divsChild>
                                                        <w:div w:id="1314992388">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351995967">
                                                              <w:marLeft w:val="0"/>
                                                              <w:marRight w:val="0"/>
                                                              <w:marTop w:val="0"/>
                                                              <w:marBottom w:val="0"/>
                                                              <w:divBdr>
                                                                <w:top w:val="none" w:sz="0" w:space="0" w:color="auto"/>
                                                                <w:left w:val="none" w:sz="0" w:space="0" w:color="auto"/>
                                                                <w:bottom w:val="none" w:sz="0" w:space="0" w:color="auto"/>
                                                                <w:right w:val="none" w:sz="0" w:space="0" w:color="auto"/>
                                                              </w:divBdr>
                                                            </w:div>
                                                            <w:div w:id="513543266">
                                                              <w:marLeft w:val="0"/>
                                                              <w:marRight w:val="0"/>
                                                              <w:marTop w:val="0"/>
                                                              <w:marBottom w:val="0"/>
                                                              <w:divBdr>
                                                                <w:top w:val="none" w:sz="0" w:space="0" w:color="auto"/>
                                                                <w:left w:val="none" w:sz="0" w:space="0" w:color="auto"/>
                                                                <w:bottom w:val="none" w:sz="0" w:space="0" w:color="auto"/>
                                                                <w:right w:val="none" w:sz="0" w:space="0" w:color="auto"/>
                                                              </w:divBdr>
                                                            </w:div>
                                                            <w:div w:id="1687825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258296840">
      <w:bodyDiv w:val="1"/>
      <w:marLeft w:val="0"/>
      <w:marRight w:val="0"/>
      <w:marTop w:val="0"/>
      <w:marBottom w:val="0"/>
      <w:divBdr>
        <w:top w:val="none" w:sz="0" w:space="0" w:color="auto"/>
        <w:left w:val="none" w:sz="0" w:space="0" w:color="auto"/>
        <w:bottom w:val="none" w:sz="0" w:space="0" w:color="auto"/>
        <w:right w:val="none" w:sz="0" w:space="0" w:color="auto"/>
      </w:divBdr>
    </w:div>
    <w:div w:id="1311325782">
      <w:bodyDiv w:val="1"/>
      <w:marLeft w:val="0"/>
      <w:marRight w:val="0"/>
      <w:marTop w:val="0"/>
      <w:marBottom w:val="0"/>
      <w:divBdr>
        <w:top w:val="none" w:sz="0" w:space="0" w:color="auto"/>
        <w:left w:val="none" w:sz="0" w:space="0" w:color="auto"/>
        <w:bottom w:val="none" w:sz="0" w:space="0" w:color="auto"/>
        <w:right w:val="none" w:sz="0" w:space="0" w:color="auto"/>
      </w:divBdr>
    </w:div>
    <w:div w:id="1313438648">
      <w:bodyDiv w:val="1"/>
      <w:marLeft w:val="0"/>
      <w:marRight w:val="0"/>
      <w:marTop w:val="0"/>
      <w:marBottom w:val="0"/>
      <w:divBdr>
        <w:top w:val="none" w:sz="0" w:space="0" w:color="auto"/>
        <w:left w:val="none" w:sz="0" w:space="0" w:color="auto"/>
        <w:bottom w:val="none" w:sz="0" w:space="0" w:color="auto"/>
        <w:right w:val="none" w:sz="0" w:space="0" w:color="auto"/>
      </w:divBdr>
    </w:div>
    <w:div w:id="1365979590">
      <w:bodyDiv w:val="1"/>
      <w:marLeft w:val="0"/>
      <w:marRight w:val="0"/>
      <w:marTop w:val="0"/>
      <w:marBottom w:val="0"/>
      <w:divBdr>
        <w:top w:val="none" w:sz="0" w:space="0" w:color="auto"/>
        <w:left w:val="none" w:sz="0" w:space="0" w:color="auto"/>
        <w:bottom w:val="none" w:sz="0" w:space="0" w:color="auto"/>
        <w:right w:val="none" w:sz="0" w:space="0" w:color="auto"/>
      </w:divBdr>
    </w:div>
    <w:div w:id="1372878529">
      <w:bodyDiv w:val="1"/>
      <w:marLeft w:val="0"/>
      <w:marRight w:val="0"/>
      <w:marTop w:val="0"/>
      <w:marBottom w:val="0"/>
      <w:divBdr>
        <w:top w:val="none" w:sz="0" w:space="0" w:color="auto"/>
        <w:left w:val="none" w:sz="0" w:space="0" w:color="auto"/>
        <w:bottom w:val="none" w:sz="0" w:space="0" w:color="auto"/>
        <w:right w:val="none" w:sz="0" w:space="0" w:color="auto"/>
      </w:divBdr>
    </w:div>
    <w:div w:id="1433237151">
      <w:bodyDiv w:val="1"/>
      <w:marLeft w:val="0"/>
      <w:marRight w:val="0"/>
      <w:marTop w:val="0"/>
      <w:marBottom w:val="0"/>
      <w:divBdr>
        <w:top w:val="none" w:sz="0" w:space="0" w:color="auto"/>
        <w:left w:val="none" w:sz="0" w:space="0" w:color="auto"/>
        <w:bottom w:val="none" w:sz="0" w:space="0" w:color="auto"/>
        <w:right w:val="none" w:sz="0" w:space="0" w:color="auto"/>
      </w:divBdr>
    </w:div>
    <w:div w:id="1468233123">
      <w:bodyDiv w:val="1"/>
      <w:marLeft w:val="0"/>
      <w:marRight w:val="0"/>
      <w:marTop w:val="0"/>
      <w:marBottom w:val="0"/>
      <w:divBdr>
        <w:top w:val="none" w:sz="0" w:space="0" w:color="auto"/>
        <w:left w:val="none" w:sz="0" w:space="0" w:color="auto"/>
        <w:bottom w:val="none" w:sz="0" w:space="0" w:color="auto"/>
        <w:right w:val="none" w:sz="0" w:space="0" w:color="auto"/>
      </w:divBdr>
      <w:divsChild>
        <w:div w:id="1143815591">
          <w:marLeft w:val="0"/>
          <w:marRight w:val="0"/>
          <w:marTop w:val="0"/>
          <w:marBottom w:val="0"/>
          <w:divBdr>
            <w:top w:val="none" w:sz="0" w:space="0" w:color="auto"/>
            <w:left w:val="none" w:sz="0" w:space="0" w:color="auto"/>
            <w:bottom w:val="none" w:sz="0" w:space="0" w:color="auto"/>
            <w:right w:val="none" w:sz="0" w:space="0" w:color="auto"/>
          </w:divBdr>
          <w:divsChild>
            <w:div w:id="2048524813">
              <w:marLeft w:val="0"/>
              <w:marRight w:val="0"/>
              <w:marTop w:val="0"/>
              <w:marBottom w:val="0"/>
              <w:divBdr>
                <w:top w:val="none" w:sz="0" w:space="0" w:color="auto"/>
                <w:left w:val="none" w:sz="0" w:space="0" w:color="auto"/>
                <w:bottom w:val="none" w:sz="0" w:space="0" w:color="auto"/>
                <w:right w:val="none" w:sz="0" w:space="0" w:color="auto"/>
              </w:divBdr>
              <w:divsChild>
                <w:div w:id="880021351">
                  <w:marLeft w:val="0"/>
                  <w:marRight w:val="0"/>
                  <w:marTop w:val="0"/>
                  <w:marBottom w:val="0"/>
                  <w:divBdr>
                    <w:top w:val="none" w:sz="0" w:space="0" w:color="auto"/>
                    <w:left w:val="none" w:sz="0" w:space="0" w:color="auto"/>
                    <w:bottom w:val="none" w:sz="0" w:space="0" w:color="auto"/>
                    <w:right w:val="none" w:sz="0" w:space="0" w:color="auto"/>
                  </w:divBdr>
                  <w:divsChild>
                    <w:div w:id="1285652066">
                      <w:marLeft w:val="150"/>
                      <w:marRight w:val="150"/>
                      <w:marTop w:val="0"/>
                      <w:marBottom w:val="0"/>
                      <w:divBdr>
                        <w:top w:val="none" w:sz="0" w:space="0" w:color="auto"/>
                        <w:left w:val="none" w:sz="0" w:space="0" w:color="auto"/>
                        <w:bottom w:val="none" w:sz="0" w:space="0" w:color="auto"/>
                        <w:right w:val="none" w:sz="0" w:space="0" w:color="auto"/>
                      </w:divBdr>
                      <w:divsChild>
                        <w:div w:id="1063673541">
                          <w:marLeft w:val="0"/>
                          <w:marRight w:val="0"/>
                          <w:marTop w:val="0"/>
                          <w:marBottom w:val="0"/>
                          <w:divBdr>
                            <w:top w:val="none" w:sz="0" w:space="0" w:color="auto"/>
                            <w:left w:val="none" w:sz="0" w:space="0" w:color="auto"/>
                            <w:bottom w:val="none" w:sz="0" w:space="0" w:color="auto"/>
                            <w:right w:val="none" w:sz="0" w:space="0" w:color="auto"/>
                          </w:divBdr>
                          <w:divsChild>
                            <w:div w:id="974486508">
                              <w:marLeft w:val="0"/>
                              <w:marRight w:val="0"/>
                              <w:marTop w:val="0"/>
                              <w:marBottom w:val="240"/>
                              <w:divBdr>
                                <w:top w:val="none" w:sz="0" w:space="0" w:color="auto"/>
                                <w:left w:val="none" w:sz="0" w:space="0" w:color="auto"/>
                                <w:bottom w:val="none" w:sz="0" w:space="0" w:color="auto"/>
                                <w:right w:val="none" w:sz="0" w:space="0" w:color="auto"/>
                              </w:divBdr>
                              <w:divsChild>
                                <w:div w:id="1855996097">
                                  <w:marLeft w:val="0"/>
                                  <w:marRight w:val="0"/>
                                  <w:marTop w:val="0"/>
                                  <w:marBottom w:val="0"/>
                                  <w:divBdr>
                                    <w:top w:val="none" w:sz="0" w:space="0" w:color="auto"/>
                                    <w:left w:val="none" w:sz="0" w:space="0" w:color="auto"/>
                                    <w:bottom w:val="none" w:sz="0" w:space="0" w:color="auto"/>
                                    <w:right w:val="none" w:sz="0" w:space="0" w:color="auto"/>
                                  </w:divBdr>
                                  <w:divsChild>
                                    <w:div w:id="1951930769">
                                      <w:marLeft w:val="0"/>
                                      <w:marRight w:val="0"/>
                                      <w:marTop w:val="0"/>
                                      <w:marBottom w:val="0"/>
                                      <w:divBdr>
                                        <w:top w:val="none" w:sz="0" w:space="0" w:color="auto"/>
                                        <w:left w:val="none" w:sz="0" w:space="0" w:color="auto"/>
                                        <w:bottom w:val="none" w:sz="0" w:space="0" w:color="auto"/>
                                        <w:right w:val="none" w:sz="0" w:space="0" w:color="auto"/>
                                      </w:divBdr>
                                      <w:divsChild>
                                        <w:div w:id="86007280">
                                          <w:marLeft w:val="0"/>
                                          <w:marRight w:val="0"/>
                                          <w:marTop w:val="0"/>
                                          <w:marBottom w:val="0"/>
                                          <w:divBdr>
                                            <w:top w:val="none" w:sz="0" w:space="0" w:color="auto"/>
                                            <w:left w:val="none" w:sz="0" w:space="0" w:color="auto"/>
                                            <w:bottom w:val="none" w:sz="0" w:space="0" w:color="auto"/>
                                            <w:right w:val="none" w:sz="0" w:space="0" w:color="auto"/>
                                          </w:divBdr>
                                          <w:divsChild>
                                            <w:div w:id="1031957315">
                                              <w:marLeft w:val="0"/>
                                              <w:marRight w:val="0"/>
                                              <w:marTop w:val="0"/>
                                              <w:marBottom w:val="0"/>
                                              <w:divBdr>
                                                <w:top w:val="none" w:sz="0" w:space="0" w:color="auto"/>
                                                <w:left w:val="none" w:sz="0" w:space="0" w:color="auto"/>
                                                <w:bottom w:val="none" w:sz="0" w:space="0" w:color="auto"/>
                                                <w:right w:val="none" w:sz="0" w:space="0" w:color="auto"/>
                                              </w:divBdr>
                                              <w:divsChild>
                                                <w:div w:id="1947157540">
                                                  <w:marLeft w:val="0"/>
                                                  <w:marRight w:val="0"/>
                                                  <w:marTop w:val="0"/>
                                                  <w:marBottom w:val="0"/>
                                                  <w:divBdr>
                                                    <w:top w:val="none" w:sz="0" w:space="0" w:color="auto"/>
                                                    <w:left w:val="none" w:sz="0" w:space="0" w:color="auto"/>
                                                    <w:bottom w:val="none" w:sz="0" w:space="0" w:color="auto"/>
                                                    <w:right w:val="none" w:sz="0" w:space="0" w:color="auto"/>
                                                  </w:divBdr>
                                                  <w:divsChild>
                                                    <w:div w:id="1064527028">
                                                      <w:marLeft w:val="0"/>
                                                      <w:marRight w:val="0"/>
                                                      <w:marTop w:val="0"/>
                                                      <w:marBottom w:val="0"/>
                                                      <w:divBdr>
                                                        <w:top w:val="none" w:sz="0" w:space="0" w:color="auto"/>
                                                        <w:left w:val="none" w:sz="0" w:space="0" w:color="auto"/>
                                                        <w:bottom w:val="none" w:sz="0" w:space="0" w:color="auto"/>
                                                        <w:right w:val="none" w:sz="0" w:space="0" w:color="auto"/>
                                                      </w:divBdr>
                                                      <w:divsChild>
                                                        <w:div w:id="434253689">
                                                          <w:marLeft w:val="0"/>
                                                          <w:marRight w:val="0"/>
                                                          <w:marTop w:val="0"/>
                                                          <w:marBottom w:val="0"/>
                                                          <w:divBdr>
                                                            <w:top w:val="none" w:sz="0" w:space="0" w:color="auto"/>
                                                            <w:left w:val="none" w:sz="0" w:space="0" w:color="auto"/>
                                                            <w:bottom w:val="none" w:sz="0" w:space="0" w:color="auto"/>
                                                            <w:right w:val="none" w:sz="0" w:space="0" w:color="auto"/>
                                                          </w:divBdr>
                                                          <w:divsChild>
                                                            <w:div w:id="859465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84931845">
      <w:bodyDiv w:val="1"/>
      <w:marLeft w:val="0"/>
      <w:marRight w:val="0"/>
      <w:marTop w:val="0"/>
      <w:marBottom w:val="0"/>
      <w:divBdr>
        <w:top w:val="none" w:sz="0" w:space="0" w:color="auto"/>
        <w:left w:val="none" w:sz="0" w:space="0" w:color="auto"/>
        <w:bottom w:val="none" w:sz="0" w:space="0" w:color="auto"/>
        <w:right w:val="none" w:sz="0" w:space="0" w:color="auto"/>
      </w:divBdr>
    </w:div>
    <w:div w:id="1498501040">
      <w:bodyDiv w:val="1"/>
      <w:marLeft w:val="0"/>
      <w:marRight w:val="0"/>
      <w:marTop w:val="0"/>
      <w:marBottom w:val="0"/>
      <w:divBdr>
        <w:top w:val="none" w:sz="0" w:space="0" w:color="auto"/>
        <w:left w:val="none" w:sz="0" w:space="0" w:color="auto"/>
        <w:bottom w:val="none" w:sz="0" w:space="0" w:color="auto"/>
        <w:right w:val="none" w:sz="0" w:space="0" w:color="auto"/>
      </w:divBdr>
    </w:div>
    <w:div w:id="1511990080">
      <w:bodyDiv w:val="1"/>
      <w:marLeft w:val="0"/>
      <w:marRight w:val="0"/>
      <w:marTop w:val="0"/>
      <w:marBottom w:val="0"/>
      <w:divBdr>
        <w:top w:val="none" w:sz="0" w:space="0" w:color="auto"/>
        <w:left w:val="none" w:sz="0" w:space="0" w:color="auto"/>
        <w:bottom w:val="none" w:sz="0" w:space="0" w:color="auto"/>
        <w:right w:val="none" w:sz="0" w:space="0" w:color="auto"/>
      </w:divBdr>
    </w:div>
    <w:div w:id="1584606190">
      <w:bodyDiv w:val="1"/>
      <w:marLeft w:val="0"/>
      <w:marRight w:val="0"/>
      <w:marTop w:val="0"/>
      <w:marBottom w:val="0"/>
      <w:divBdr>
        <w:top w:val="none" w:sz="0" w:space="0" w:color="auto"/>
        <w:left w:val="none" w:sz="0" w:space="0" w:color="auto"/>
        <w:bottom w:val="none" w:sz="0" w:space="0" w:color="auto"/>
        <w:right w:val="none" w:sz="0" w:space="0" w:color="auto"/>
      </w:divBdr>
    </w:div>
    <w:div w:id="1680813324">
      <w:bodyDiv w:val="1"/>
      <w:marLeft w:val="0"/>
      <w:marRight w:val="0"/>
      <w:marTop w:val="0"/>
      <w:marBottom w:val="0"/>
      <w:divBdr>
        <w:top w:val="none" w:sz="0" w:space="0" w:color="auto"/>
        <w:left w:val="none" w:sz="0" w:space="0" w:color="auto"/>
        <w:bottom w:val="none" w:sz="0" w:space="0" w:color="auto"/>
        <w:right w:val="none" w:sz="0" w:space="0" w:color="auto"/>
      </w:divBdr>
    </w:div>
    <w:div w:id="1717776638">
      <w:bodyDiv w:val="1"/>
      <w:marLeft w:val="0"/>
      <w:marRight w:val="0"/>
      <w:marTop w:val="0"/>
      <w:marBottom w:val="0"/>
      <w:divBdr>
        <w:top w:val="none" w:sz="0" w:space="0" w:color="auto"/>
        <w:left w:val="none" w:sz="0" w:space="0" w:color="auto"/>
        <w:bottom w:val="none" w:sz="0" w:space="0" w:color="auto"/>
        <w:right w:val="none" w:sz="0" w:space="0" w:color="auto"/>
      </w:divBdr>
    </w:div>
    <w:div w:id="1840533336">
      <w:bodyDiv w:val="1"/>
      <w:marLeft w:val="0"/>
      <w:marRight w:val="0"/>
      <w:marTop w:val="0"/>
      <w:marBottom w:val="0"/>
      <w:divBdr>
        <w:top w:val="none" w:sz="0" w:space="0" w:color="auto"/>
        <w:left w:val="none" w:sz="0" w:space="0" w:color="auto"/>
        <w:bottom w:val="none" w:sz="0" w:space="0" w:color="auto"/>
        <w:right w:val="none" w:sz="0" w:space="0" w:color="auto"/>
      </w:divBdr>
      <w:divsChild>
        <w:div w:id="212620854">
          <w:marLeft w:val="0"/>
          <w:marRight w:val="0"/>
          <w:marTop w:val="0"/>
          <w:marBottom w:val="0"/>
          <w:divBdr>
            <w:top w:val="none" w:sz="0" w:space="0" w:color="auto"/>
            <w:left w:val="none" w:sz="0" w:space="0" w:color="auto"/>
            <w:bottom w:val="none" w:sz="0" w:space="0" w:color="auto"/>
            <w:right w:val="none" w:sz="0" w:space="0" w:color="auto"/>
          </w:divBdr>
          <w:divsChild>
            <w:div w:id="1056397692">
              <w:marLeft w:val="0"/>
              <w:marRight w:val="0"/>
              <w:marTop w:val="0"/>
              <w:marBottom w:val="0"/>
              <w:divBdr>
                <w:top w:val="none" w:sz="0" w:space="0" w:color="auto"/>
                <w:left w:val="none" w:sz="0" w:space="0" w:color="auto"/>
                <w:bottom w:val="none" w:sz="0" w:space="0" w:color="auto"/>
                <w:right w:val="none" w:sz="0" w:space="0" w:color="auto"/>
              </w:divBdr>
              <w:divsChild>
                <w:div w:id="2051372265">
                  <w:marLeft w:val="0"/>
                  <w:marRight w:val="0"/>
                  <w:marTop w:val="0"/>
                  <w:marBottom w:val="0"/>
                  <w:divBdr>
                    <w:top w:val="none" w:sz="0" w:space="0" w:color="auto"/>
                    <w:left w:val="none" w:sz="0" w:space="0" w:color="auto"/>
                    <w:bottom w:val="none" w:sz="0" w:space="0" w:color="auto"/>
                    <w:right w:val="none" w:sz="0" w:space="0" w:color="auto"/>
                  </w:divBdr>
                  <w:divsChild>
                    <w:div w:id="1012537936">
                      <w:marLeft w:val="0"/>
                      <w:marRight w:val="0"/>
                      <w:marTop w:val="0"/>
                      <w:marBottom w:val="0"/>
                      <w:divBdr>
                        <w:top w:val="none" w:sz="0" w:space="0" w:color="auto"/>
                        <w:left w:val="none" w:sz="0" w:space="0" w:color="auto"/>
                        <w:bottom w:val="none" w:sz="0" w:space="0" w:color="auto"/>
                        <w:right w:val="none" w:sz="0" w:space="0" w:color="auto"/>
                      </w:divBdr>
                      <w:divsChild>
                        <w:div w:id="1123886381">
                          <w:marLeft w:val="0"/>
                          <w:marRight w:val="0"/>
                          <w:marTop w:val="0"/>
                          <w:marBottom w:val="0"/>
                          <w:divBdr>
                            <w:top w:val="none" w:sz="0" w:space="0" w:color="auto"/>
                            <w:left w:val="none" w:sz="0" w:space="0" w:color="auto"/>
                            <w:bottom w:val="none" w:sz="0" w:space="0" w:color="auto"/>
                            <w:right w:val="none" w:sz="0" w:space="0" w:color="auto"/>
                          </w:divBdr>
                          <w:divsChild>
                            <w:div w:id="734200237">
                              <w:marLeft w:val="0"/>
                              <w:marRight w:val="0"/>
                              <w:marTop w:val="0"/>
                              <w:marBottom w:val="0"/>
                              <w:divBdr>
                                <w:top w:val="none" w:sz="0" w:space="0" w:color="auto"/>
                                <w:left w:val="none" w:sz="0" w:space="0" w:color="auto"/>
                                <w:bottom w:val="none" w:sz="0" w:space="0" w:color="auto"/>
                                <w:right w:val="none" w:sz="0" w:space="0" w:color="auto"/>
                              </w:divBdr>
                              <w:divsChild>
                                <w:div w:id="84225445">
                                  <w:marLeft w:val="0"/>
                                  <w:marRight w:val="0"/>
                                  <w:marTop w:val="0"/>
                                  <w:marBottom w:val="0"/>
                                  <w:divBdr>
                                    <w:top w:val="none" w:sz="0" w:space="0" w:color="auto"/>
                                    <w:left w:val="none" w:sz="0" w:space="0" w:color="auto"/>
                                    <w:bottom w:val="none" w:sz="0" w:space="0" w:color="auto"/>
                                    <w:right w:val="none" w:sz="0" w:space="0" w:color="auto"/>
                                  </w:divBdr>
                                  <w:divsChild>
                                    <w:div w:id="953750206">
                                      <w:marLeft w:val="0"/>
                                      <w:marRight w:val="0"/>
                                      <w:marTop w:val="0"/>
                                      <w:marBottom w:val="0"/>
                                      <w:divBdr>
                                        <w:top w:val="none" w:sz="0" w:space="0" w:color="auto"/>
                                        <w:left w:val="none" w:sz="0" w:space="0" w:color="auto"/>
                                        <w:bottom w:val="none" w:sz="0" w:space="0" w:color="auto"/>
                                        <w:right w:val="none" w:sz="0" w:space="0" w:color="auto"/>
                                      </w:divBdr>
                                      <w:divsChild>
                                        <w:div w:id="333534142">
                                          <w:marLeft w:val="0"/>
                                          <w:marRight w:val="0"/>
                                          <w:marTop w:val="0"/>
                                          <w:marBottom w:val="0"/>
                                          <w:divBdr>
                                            <w:top w:val="none" w:sz="0" w:space="0" w:color="auto"/>
                                            <w:left w:val="none" w:sz="0" w:space="0" w:color="auto"/>
                                            <w:bottom w:val="none" w:sz="0" w:space="0" w:color="auto"/>
                                            <w:right w:val="none" w:sz="0" w:space="0" w:color="auto"/>
                                          </w:divBdr>
                                          <w:divsChild>
                                            <w:div w:id="222761829">
                                              <w:marLeft w:val="0"/>
                                              <w:marRight w:val="0"/>
                                              <w:marTop w:val="0"/>
                                              <w:marBottom w:val="0"/>
                                              <w:divBdr>
                                                <w:top w:val="none" w:sz="0" w:space="0" w:color="auto"/>
                                                <w:left w:val="none" w:sz="0" w:space="0" w:color="auto"/>
                                                <w:bottom w:val="none" w:sz="0" w:space="0" w:color="auto"/>
                                                <w:right w:val="none" w:sz="0" w:space="0" w:color="auto"/>
                                              </w:divBdr>
                                              <w:divsChild>
                                                <w:div w:id="1084188266">
                                                  <w:marLeft w:val="0"/>
                                                  <w:marRight w:val="0"/>
                                                  <w:marTop w:val="0"/>
                                                  <w:marBottom w:val="0"/>
                                                  <w:divBdr>
                                                    <w:top w:val="none" w:sz="0" w:space="0" w:color="auto"/>
                                                    <w:left w:val="none" w:sz="0" w:space="0" w:color="auto"/>
                                                    <w:bottom w:val="none" w:sz="0" w:space="0" w:color="auto"/>
                                                    <w:right w:val="none" w:sz="0" w:space="0" w:color="auto"/>
                                                  </w:divBdr>
                                                  <w:divsChild>
                                                    <w:div w:id="1181091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22133004">
      <w:bodyDiv w:val="1"/>
      <w:marLeft w:val="0"/>
      <w:marRight w:val="0"/>
      <w:marTop w:val="0"/>
      <w:marBottom w:val="0"/>
      <w:divBdr>
        <w:top w:val="none" w:sz="0" w:space="0" w:color="auto"/>
        <w:left w:val="none" w:sz="0" w:space="0" w:color="auto"/>
        <w:bottom w:val="none" w:sz="0" w:space="0" w:color="auto"/>
        <w:right w:val="none" w:sz="0" w:space="0" w:color="auto"/>
      </w:divBdr>
    </w:div>
    <w:div w:id="1977642696">
      <w:bodyDiv w:val="1"/>
      <w:marLeft w:val="0"/>
      <w:marRight w:val="0"/>
      <w:marTop w:val="0"/>
      <w:marBottom w:val="0"/>
      <w:divBdr>
        <w:top w:val="none" w:sz="0" w:space="0" w:color="auto"/>
        <w:left w:val="none" w:sz="0" w:space="0" w:color="auto"/>
        <w:bottom w:val="none" w:sz="0" w:space="0" w:color="auto"/>
        <w:right w:val="none" w:sz="0" w:space="0" w:color="auto"/>
      </w:divBdr>
    </w:div>
    <w:div w:id="1980529002">
      <w:bodyDiv w:val="1"/>
      <w:marLeft w:val="0"/>
      <w:marRight w:val="0"/>
      <w:marTop w:val="0"/>
      <w:marBottom w:val="0"/>
      <w:divBdr>
        <w:top w:val="none" w:sz="0" w:space="0" w:color="auto"/>
        <w:left w:val="none" w:sz="0" w:space="0" w:color="auto"/>
        <w:bottom w:val="none" w:sz="0" w:space="0" w:color="auto"/>
        <w:right w:val="none" w:sz="0" w:space="0" w:color="auto"/>
      </w:divBdr>
    </w:div>
    <w:div w:id="2033453692">
      <w:bodyDiv w:val="1"/>
      <w:marLeft w:val="0"/>
      <w:marRight w:val="0"/>
      <w:marTop w:val="0"/>
      <w:marBottom w:val="0"/>
      <w:divBdr>
        <w:top w:val="none" w:sz="0" w:space="0" w:color="auto"/>
        <w:left w:val="none" w:sz="0" w:space="0" w:color="auto"/>
        <w:bottom w:val="none" w:sz="0" w:space="0" w:color="auto"/>
        <w:right w:val="none" w:sz="0" w:space="0" w:color="auto"/>
      </w:divBdr>
    </w:div>
    <w:div w:id="2054692861">
      <w:bodyDiv w:val="1"/>
      <w:marLeft w:val="0"/>
      <w:marRight w:val="0"/>
      <w:marTop w:val="0"/>
      <w:marBottom w:val="0"/>
      <w:divBdr>
        <w:top w:val="none" w:sz="0" w:space="0" w:color="auto"/>
        <w:left w:val="none" w:sz="0" w:space="0" w:color="auto"/>
        <w:bottom w:val="none" w:sz="0" w:space="0" w:color="auto"/>
        <w:right w:val="none" w:sz="0" w:space="0" w:color="auto"/>
      </w:divBdr>
    </w:div>
    <w:div w:id="2075157508">
      <w:bodyDiv w:val="1"/>
      <w:marLeft w:val="0"/>
      <w:marRight w:val="0"/>
      <w:marTop w:val="0"/>
      <w:marBottom w:val="0"/>
      <w:divBdr>
        <w:top w:val="none" w:sz="0" w:space="0" w:color="auto"/>
        <w:left w:val="none" w:sz="0" w:space="0" w:color="auto"/>
        <w:bottom w:val="none" w:sz="0" w:space="0" w:color="auto"/>
        <w:right w:val="none" w:sz="0" w:space="0" w:color="auto"/>
      </w:divBdr>
    </w:div>
    <w:div w:id="2097356565">
      <w:bodyDiv w:val="1"/>
      <w:marLeft w:val="0"/>
      <w:marRight w:val="0"/>
      <w:marTop w:val="0"/>
      <w:marBottom w:val="0"/>
      <w:divBdr>
        <w:top w:val="none" w:sz="0" w:space="0" w:color="auto"/>
        <w:left w:val="none" w:sz="0" w:space="0" w:color="auto"/>
        <w:bottom w:val="none" w:sz="0" w:space="0" w:color="auto"/>
        <w:right w:val="none" w:sz="0" w:space="0" w:color="auto"/>
      </w:divBdr>
    </w:div>
    <w:div w:id="2106732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ustralianenergystatistics@environment.gov.au" TargetMode="External"/><Relationship Id="rId18" Type="http://schemas.openxmlformats.org/officeDocument/2006/relationships/hyperlink" Target="mailto:australianenergystatistics@environment.gov.au" TargetMode="Externa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hyperlink" Target="https://www.energy.gov.au/government-priorities/energy-data/australian-energy-statistics" TargetMode="External"/><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reativecommons.org/licenses/by/4.0/" TargetMode="Externa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footer" Target="footer3.xml"/><Relationship Id="rId31" Type="http://schemas.openxmlformats.org/officeDocument/2006/relationships/image" Target="media/image15.png"/><Relationship Id="rId44"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energy.gov.au" TargetMode="External"/><Relationship Id="rId22" Type="http://schemas.openxmlformats.org/officeDocument/2006/relationships/image" Target="media/image6.jpe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fontTable" Target="fontTable.xml"/><Relationship Id="rId48" Type="http://schemas.openxmlformats.org/officeDocument/2006/relationships/customXml" Target="../customXml/item4.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s://www.energy.gov.au/government-priorities/energy-data/australian-energy-statistics"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customXml" Target="../customXml/item2.xml"/><Relationship Id="rId20" Type="http://schemas.openxmlformats.org/officeDocument/2006/relationships/image" Target="media/image5.jpeg"/><Relationship Id="rId41" Type="http://schemas.openxmlformats.org/officeDocument/2006/relationships/image" Target="media/image2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6CD0A6C3FECB4E2AA061BBCBD640895E"/>
        <w:category>
          <w:name w:val="General"/>
          <w:gallery w:val="placeholder"/>
        </w:category>
        <w:types>
          <w:type w:val="bbPlcHdr"/>
        </w:types>
        <w:behaviors>
          <w:behavior w:val="content"/>
        </w:behaviors>
        <w:guid w:val="{AE875450-4D2F-45E4-996A-CEE37C4C2006}"/>
      </w:docPartPr>
      <w:docPartBody>
        <w:p w:rsidR="00F76E5E" w:rsidRDefault="004F09A8" w:rsidP="004F09A8">
          <w:pPr>
            <w:pStyle w:val="6CD0A6C3FECB4E2AA061BBCBD640895E"/>
          </w:pPr>
          <w:r w:rsidRPr="004116C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GillSans">
    <w:altName w:val="Gill Sans"/>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yriadPro-Light">
    <w:altName w:val="Myriad Pro Light"/>
    <w:panose1 w:val="00000000000000000000"/>
    <w:charset w:val="4D"/>
    <w:family w:val="auto"/>
    <w:notTrueType/>
    <w:pitch w:val="default"/>
    <w:sig w:usb0="00000003" w:usb1="00000000" w:usb2="00000000" w:usb3="00000000" w:csb0="00000001" w:csb1="00000000"/>
  </w:font>
  <w:font w:name="MS ??">
    <w:altName w:val="MS Mincho"/>
    <w:panose1 w:val="00000000000000000000"/>
    <w:charset w:val="80"/>
    <w:family w:val="auto"/>
    <w:notTrueType/>
    <w:pitch w:val="variable"/>
    <w:sig w:usb0="00000000" w:usb1="08070000" w:usb2="00000010" w:usb3="00000000" w:csb0="00020000" w:csb1="00000000"/>
  </w:font>
  <w:font w:name="MyriadPro-LightIt">
    <w:altName w:val="Cambria"/>
    <w:panose1 w:val="00000000000000000000"/>
    <w:charset w:val="4D"/>
    <w:family w:val="auto"/>
    <w:notTrueType/>
    <w:pitch w:val="default"/>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MyriadPro-Regular">
    <w:altName w:val="Myriad Pro"/>
    <w:panose1 w:val="020B0503030403020204"/>
    <w:charset w:val="4D"/>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09A8"/>
    <w:rsid w:val="000B17D4"/>
    <w:rsid w:val="001F28F5"/>
    <w:rsid w:val="00396C56"/>
    <w:rsid w:val="0042228D"/>
    <w:rsid w:val="0043592F"/>
    <w:rsid w:val="004F09A8"/>
    <w:rsid w:val="008024A3"/>
    <w:rsid w:val="008F7685"/>
    <w:rsid w:val="009B167E"/>
    <w:rsid w:val="00AC5E9A"/>
    <w:rsid w:val="00B436D9"/>
    <w:rsid w:val="00C66AC9"/>
    <w:rsid w:val="00CC36B1"/>
    <w:rsid w:val="00CC6AF4"/>
    <w:rsid w:val="00D50D0E"/>
    <w:rsid w:val="00EF7E9A"/>
    <w:rsid w:val="00F76E5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F09A8"/>
    <w:rPr>
      <w:color w:val="808080"/>
    </w:rPr>
  </w:style>
  <w:style w:type="paragraph" w:customStyle="1" w:styleId="F16DA1BE07A84BABAB2DD3BDFC4B6358">
    <w:name w:val="F16DA1BE07A84BABAB2DD3BDFC4B6358"/>
    <w:rsid w:val="004F09A8"/>
  </w:style>
  <w:style w:type="paragraph" w:customStyle="1" w:styleId="6CD0A6C3FECB4E2AA061BBCBD640895E">
    <w:name w:val="6CD0A6C3FECB4E2AA061BBCBD640895E"/>
    <w:rsid w:val="004F09A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theme/theme1.xml><?xml version="1.0" encoding="utf-8"?>
<a:theme xmlns:a="http://schemas.openxmlformats.org/drawingml/2006/main" name="OCE">
  <a:themeElements>
    <a:clrScheme name="OCE modified">
      <a:dk1>
        <a:srgbClr val="595A5B"/>
      </a:dk1>
      <a:lt1>
        <a:srgbClr val="FFFFFF"/>
      </a:lt1>
      <a:dk2>
        <a:srgbClr val="595A5B"/>
      </a:dk2>
      <a:lt2>
        <a:srgbClr val="FFFFFF"/>
      </a:lt2>
      <a:accent1>
        <a:srgbClr val="292B67"/>
      </a:accent1>
      <a:accent2>
        <a:srgbClr val="9ED9DF"/>
      </a:accent2>
      <a:accent3>
        <a:srgbClr val="22789A"/>
      </a:accent3>
      <a:accent4>
        <a:srgbClr val="BCBFC1"/>
      </a:accent4>
      <a:accent5>
        <a:srgbClr val="595A5B"/>
      </a:accent5>
      <a:accent6>
        <a:srgbClr val="56B4DF"/>
      </a:accent6>
      <a:hlink>
        <a:srgbClr val="0072B2"/>
      </a:hlink>
      <a:folHlink>
        <a:srgbClr val="56B4E9"/>
      </a:folHlink>
    </a:clrScheme>
    <a:fontScheme name="OC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9F6B569376E534698847754C4FE7E6D" ma:contentTypeVersion="20" ma:contentTypeDescription="Create a new document." ma:contentTypeScope="" ma:versionID="764a63bdb28e48a907606bf147e1d83c">
  <xsd:schema xmlns:xsd="http://www.w3.org/2001/XMLSchema" xmlns:xs="http://www.w3.org/2001/XMLSchema" xmlns:p="http://schemas.microsoft.com/office/2006/metadata/properties" xmlns:ns2="001891bc-3228-4e13-964b-450d60769731" targetNamespace="http://schemas.microsoft.com/office/2006/metadata/properties" ma:root="true" ma:fieldsID="2a401f4dca44872f74ba38658d6c1cb6" ns2:_="">
    <xsd:import namespace="001891bc-3228-4e13-964b-450d60769731"/>
    <xsd:element name="properties">
      <xsd:complexType>
        <xsd:sequence>
          <xsd:element name="documentManagement">
            <xsd:complexType>
              <xsd:all>
                <xsd:element ref="ns2:Subtitle" minOccurs="0"/>
                <xsd:element ref="ns2:Publisher" minOccurs="0"/>
                <xsd:element ref="ns2:Authors" minOccurs="0"/>
                <xsd:element ref="ns2:Publication_x0020_date" minOccurs="0"/>
                <xsd:element ref="ns2:Description0" minOccurs="0"/>
                <xsd:element ref="ns2:Progress" minOccurs="0"/>
                <xsd:element ref="ns2:Publication_x0020_URL" minOccurs="0"/>
                <xsd:element ref="ns2:Summary_x0020_descrip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1891bc-3228-4e13-964b-450d60769731" elementFormDefault="qualified">
    <xsd:import namespace="http://schemas.microsoft.com/office/2006/documentManagement/types"/>
    <xsd:import namespace="http://schemas.microsoft.com/office/infopath/2007/PartnerControls"/>
    <xsd:element name="Subtitle" ma:index="2" nillable="true" ma:displayName="Subtitle" ma:description="( If applicable) Insert subtitle as per copyright conditions" ma:hidden="true" ma:internalName="Subtitle" ma:readOnly="false">
      <xsd:simpleType>
        <xsd:restriction base="dms:Note"/>
      </xsd:simpleType>
    </xsd:element>
    <xsd:element name="Publisher" ma:index="3" nillable="true" ma:displayName="Publisher" ma:description="Choose from the list or insert the publisher as per the copyright information in the document." ma:format="RadioButtons" ma:internalName="Publisher">
      <xsd:simpleType>
        <xsd:union memberTypes="dms:Text">
          <xsd:simpleType>
            <xsd:restriction base="dms:Choice">
              <xsd:enumeration value="Commonwealth of Australia"/>
              <xsd:enumeration value="Department of the Environment and Energy"/>
              <xsd:enumeration value="Department of Climate Change and Energy Efficiency"/>
              <xsd:enumeration value="Department of Industry and Science"/>
              <xsd:enumeration value="Department of Industry Innovation and Science"/>
              <xsd:enumeration value="Department of Resources, Energy and Tourism"/>
            </xsd:restriction>
          </xsd:simpleType>
        </xsd:union>
      </xsd:simpleType>
    </xsd:element>
    <xsd:element name="Authors" ma:index="4" nillable="true" ma:displayName="Authors" ma:description="Insert author/s names as per the copyright information in the document" ma:hidden="true" ma:internalName="Authors" ma:readOnly="false">
      <xsd:simpleType>
        <xsd:restriction base="dms:Note"/>
      </xsd:simpleType>
    </xsd:element>
    <xsd:element name="Publication_x0020_date" ma:index="5" nillable="true" ma:displayName="Publication date" ma:description="Insert the date as per the information in the document. Format is month-year (e.g. July 2016)" ma:hidden="true" ma:internalName="Publication_x0020_date" ma:readOnly="false">
      <xsd:simpleType>
        <xsd:restriction base="dms:Text">
          <xsd:maxLength value="255"/>
        </xsd:restriction>
      </xsd:simpleType>
    </xsd:element>
    <xsd:element name="Description0" ma:index="6" nillable="true" ma:displayName="Description" ma:description="Enter a short description about the publication" ma:hidden="true" ma:internalName="Description0" ma:readOnly="false">
      <xsd:simpleType>
        <xsd:restriction base="dms:Note"/>
      </xsd:simpleType>
    </xsd:element>
    <xsd:element name="Progress" ma:index="13" nillable="true" ma:displayName="Progress" ma:format="RadioButtons" ma:internalName="Progress">
      <xsd:simpleType>
        <xsd:union memberTypes="dms:Text">
          <xsd:simpleType>
            <xsd:restriction base="dms:Choice">
              <xsd:enumeration value="Downloaded from DoEE"/>
              <xsd:enumeration value="Doc set created"/>
              <xsd:enumeration value="Document properties entered"/>
              <xsd:enumeration value="Ready to publish"/>
              <xsd:enumeration value="Webpage in Drupal created"/>
              <xsd:enumeration value="Page published"/>
              <xsd:enumeration value="Not started"/>
            </xsd:restriction>
          </xsd:simpleType>
        </xsd:union>
      </xsd:simpleType>
    </xsd:element>
    <xsd:element name="Publication_x0020_URL" ma:index="14" nillable="true" ma:displayName="Publication URL" ma:format="Hyperlink" ma:hidden="true" ma:internalName="Publication_x0020_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Summary_x0020_description" ma:index="15" nillable="true" ma:displayName="Summary description" ma:description="Short description up to 250 characters. This content is pasted into 'Edit Summary' at the Body field in Drupal" ma:hidden="true" ma:internalName="Summary_x0020_description" ma:readOnly="fals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9" ma:displayName="Content Type"/>
        <xsd:element ref="dc:title" minOccurs="0" maxOccurs="1" ma:index="0"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Authors xmlns="001891bc-3228-4e13-964b-450d60769731" xsi:nil="true"/>
    <Description0 xmlns="001891bc-3228-4e13-964b-450d60769731" xsi:nil="true"/>
    <Publication_x0020_URL xmlns="001891bc-3228-4e13-964b-450d60769731">
      <Url xsi:nil="true"/>
      <Description xsi:nil="true"/>
    </Publication_x0020_URL>
    <Progress xmlns="001891bc-3228-4e13-964b-450d60769731">Ready to publish</Progress>
    <Publisher xmlns="001891bc-3228-4e13-964b-450d60769731">Department of the Environment and Energy</Publisher>
    <Subtitle xmlns="001891bc-3228-4e13-964b-450d60769731" xsi:nil="true"/>
    <Publication_x0020_date xmlns="001891bc-3228-4e13-964b-450d60769731" xsi:nil="true"/>
    <Summary_x0020_description xmlns="001891bc-3228-4e13-964b-450d60769731" xsi:nil="true"/>
  </documentManagement>
</p:properties>
</file>

<file path=customXml/itemProps1.xml><?xml version="1.0" encoding="utf-8"?>
<ds:datastoreItem xmlns:ds="http://schemas.openxmlformats.org/officeDocument/2006/customXml" ds:itemID="{18DC87DD-CBFF-4D57-87BA-837A46E7DDDD}"/>
</file>

<file path=customXml/itemProps2.xml><?xml version="1.0" encoding="utf-8"?>
<ds:datastoreItem xmlns:ds="http://schemas.openxmlformats.org/officeDocument/2006/customXml" ds:itemID="{1B5866F5-41C5-49B9-AD8C-665E1A8C7C02}"/>
</file>

<file path=customXml/itemProps3.xml><?xml version="1.0" encoding="utf-8"?>
<ds:datastoreItem xmlns:ds="http://schemas.openxmlformats.org/officeDocument/2006/customXml" ds:itemID="{4F1E20E1-5131-4F4D-84B4-B48517D7A818}"/>
</file>

<file path=customXml/itemProps4.xml><?xml version="1.0" encoding="utf-8"?>
<ds:datastoreItem xmlns:ds="http://schemas.openxmlformats.org/officeDocument/2006/customXml" ds:itemID="{7415F47A-75A6-49F2-8DE4-5A7A962B88A9}"/>
</file>

<file path=docProps/app.xml><?xml version="1.0" encoding="utf-8"?>
<Properties xmlns="http://schemas.openxmlformats.org/officeDocument/2006/extended-properties" xmlns:vt="http://schemas.openxmlformats.org/officeDocument/2006/docPropsVTypes">
  <Template>6805D9AB</Template>
  <TotalTime>0</TotalTime>
  <Pages>39</Pages>
  <Words>9365</Words>
  <Characters>53384</Characters>
  <Application>Microsoft Office Word</Application>
  <DocSecurity>0</DocSecurity>
  <Lines>444</Lines>
  <Paragraphs>125</Paragraphs>
  <ScaleCrop>false</ScaleCrop>
  <HeadingPairs>
    <vt:vector size="2" baseType="variant">
      <vt:variant>
        <vt:lpstr>Title</vt:lpstr>
      </vt:variant>
      <vt:variant>
        <vt:i4>1</vt:i4>
      </vt:variant>
    </vt:vector>
  </HeadingPairs>
  <TitlesOfParts>
    <vt:vector size="1" baseType="lpstr">
      <vt:lpstr>Australian energy update 2017, Australian energy statistics</vt:lpstr>
    </vt:vector>
  </TitlesOfParts>
  <Company/>
  <LinksUpToDate>false</LinksUpToDate>
  <CharactersWithSpaces>62624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Australian Energy Update 2018 (DOCX 2MB)</dc:title>
  <dc:subject/>
  <dc:creator/>
  <cp:keywords>Australian energy update, Australian energy statistics</cp:keywords>
  <dc:description/>
  <cp:lastModifiedBy/>
  <cp:revision>1</cp:revision>
  <dcterms:created xsi:type="dcterms:W3CDTF">2018-09-04T06:10:00Z</dcterms:created>
  <dcterms:modified xsi:type="dcterms:W3CDTF">2018-09-19T05:44:00Z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0x01010009F6B569376E534698847754C4FE7E6D</vt:lpwstr>
  </property>
</Properties>
</file>